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F1C61" w14:textId="0BAD6AC6" w:rsidR="00765C0A" w:rsidRPr="00F15FB2" w:rsidRDefault="00765C0A" w:rsidP="00037701">
      <w:pPr>
        <w:ind w:firstLine="284"/>
        <w:jc w:val="center"/>
        <w:rPr>
          <w:b/>
          <w:bCs/>
          <w:lang w:val="fr-FR"/>
        </w:rPr>
      </w:pPr>
      <w:bookmarkStart w:id="0" w:name="_GoBack"/>
      <w:bookmarkEnd w:id="0"/>
      <w:r w:rsidRPr="00F15FB2">
        <w:rPr>
          <w:b/>
          <w:bCs/>
          <w:lang w:val="fr-FR"/>
        </w:rPr>
        <w:t xml:space="preserve">Les familles de </w:t>
      </w:r>
      <w:proofErr w:type="spellStart"/>
      <w:r w:rsidRPr="00F15FB2">
        <w:rPr>
          <w:b/>
          <w:bCs/>
          <w:lang w:val="fr-FR"/>
        </w:rPr>
        <w:t>Faycal</w:t>
      </w:r>
      <w:proofErr w:type="spellEnd"/>
      <w:r w:rsidRPr="00F15FB2">
        <w:rPr>
          <w:b/>
          <w:bCs/>
          <w:lang w:val="fr-FR"/>
        </w:rPr>
        <w:t xml:space="preserve"> Baraket et Rachid Cham</w:t>
      </w:r>
      <w:r w:rsidR="00492ED7">
        <w:rPr>
          <w:b/>
          <w:bCs/>
          <w:lang w:val="fr-FR"/>
        </w:rPr>
        <w:t>m</w:t>
      </w:r>
      <w:r w:rsidRPr="00F15FB2">
        <w:rPr>
          <w:b/>
          <w:bCs/>
          <w:lang w:val="fr-FR"/>
        </w:rPr>
        <w:t>akhi avec l’appui de</w:t>
      </w:r>
    </w:p>
    <w:p w14:paraId="7AA06497" w14:textId="77777777" w:rsidR="00765C0A" w:rsidRPr="00F15FB2" w:rsidRDefault="00765C0A" w:rsidP="00037701">
      <w:pPr>
        <w:ind w:firstLine="284"/>
        <w:jc w:val="center"/>
        <w:rPr>
          <w:b/>
          <w:bCs/>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65C0A" w:rsidRPr="00F15FB2" w14:paraId="63867191" w14:textId="77777777" w:rsidTr="00765C0A">
        <w:tc>
          <w:tcPr>
            <w:tcW w:w="3192" w:type="dxa"/>
          </w:tcPr>
          <w:p w14:paraId="763FED43" w14:textId="77777777" w:rsidR="00765C0A" w:rsidRPr="00F15FB2" w:rsidRDefault="00765C0A" w:rsidP="00765C0A">
            <w:pPr>
              <w:rPr>
                <w:b/>
                <w:bCs/>
                <w:sz w:val="32"/>
                <w:szCs w:val="32"/>
                <w:lang w:val="fr-FR"/>
              </w:rPr>
            </w:pPr>
            <w:r w:rsidRPr="00F15FB2">
              <w:rPr>
                <w:b/>
                <w:bCs/>
                <w:noProof/>
                <w:sz w:val="32"/>
                <w:szCs w:val="32"/>
              </w:rPr>
              <w:drawing>
                <wp:inline distT="0" distB="0" distL="0" distR="0" wp14:anchorId="745C83AE" wp14:editId="1C34A70B">
                  <wp:extent cx="1327824"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7897" cy="800144"/>
                          </a:xfrm>
                          <a:prstGeom prst="rect">
                            <a:avLst/>
                          </a:prstGeom>
                          <a:noFill/>
                          <a:ln>
                            <a:noFill/>
                          </a:ln>
                        </pic:spPr>
                      </pic:pic>
                    </a:graphicData>
                  </a:graphic>
                </wp:inline>
              </w:drawing>
            </w:r>
          </w:p>
        </w:tc>
        <w:tc>
          <w:tcPr>
            <w:tcW w:w="3192" w:type="dxa"/>
          </w:tcPr>
          <w:p w14:paraId="0D7E1FA6" w14:textId="77777777" w:rsidR="00765C0A" w:rsidRPr="00F15FB2" w:rsidRDefault="00765C0A" w:rsidP="00037701">
            <w:pPr>
              <w:jc w:val="center"/>
              <w:rPr>
                <w:b/>
                <w:bCs/>
                <w:sz w:val="32"/>
                <w:szCs w:val="32"/>
                <w:lang w:val="fr-FR"/>
              </w:rPr>
            </w:pPr>
            <w:r w:rsidRPr="00F15FB2">
              <w:rPr>
                <w:noProof/>
              </w:rPr>
              <w:drawing>
                <wp:inline distT="0" distB="0" distL="0" distR="0" wp14:anchorId="2AF91C27" wp14:editId="66948889">
                  <wp:extent cx="809625" cy="752475"/>
                  <wp:effectExtent l="0" t="0" r="9525" b="9525"/>
                  <wp:docPr id="2" name="Image 1" descr="C:\Users\Halim Meddeb\Desktop\ON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lim Meddeb\Desktop\ONA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6207" cy="758592"/>
                          </a:xfrm>
                          <a:prstGeom prst="rect">
                            <a:avLst/>
                          </a:prstGeom>
                          <a:noFill/>
                          <a:ln>
                            <a:noFill/>
                          </a:ln>
                        </pic:spPr>
                      </pic:pic>
                    </a:graphicData>
                  </a:graphic>
                </wp:inline>
              </w:drawing>
            </w:r>
          </w:p>
        </w:tc>
        <w:tc>
          <w:tcPr>
            <w:tcW w:w="3192" w:type="dxa"/>
          </w:tcPr>
          <w:p w14:paraId="3A90E3F8" w14:textId="77777777" w:rsidR="00765C0A" w:rsidRPr="00F15FB2" w:rsidRDefault="00765C0A" w:rsidP="00765C0A">
            <w:pPr>
              <w:jc w:val="right"/>
              <w:rPr>
                <w:b/>
                <w:bCs/>
                <w:sz w:val="32"/>
                <w:szCs w:val="32"/>
                <w:lang w:val="fr-FR"/>
              </w:rPr>
            </w:pPr>
            <w:r w:rsidRPr="00F15FB2">
              <w:rPr>
                <w:b/>
                <w:bCs/>
                <w:noProof/>
                <w:sz w:val="32"/>
                <w:szCs w:val="32"/>
              </w:rPr>
              <w:drawing>
                <wp:inline distT="0" distB="0" distL="0" distR="0" wp14:anchorId="3DD81A54" wp14:editId="2676DA0A">
                  <wp:extent cx="1709420" cy="70495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0869" cy="705553"/>
                          </a:xfrm>
                          <a:prstGeom prst="rect">
                            <a:avLst/>
                          </a:prstGeom>
                          <a:noFill/>
                          <a:ln>
                            <a:noFill/>
                          </a:ln>
                        </pic:spPr>
                      </pic:pic>
                    </a:graphicData>
                  </a:graphic>
                </wp:inline>
              </w:drawing>
            </w:r>
          </w:p>
        </w:tc>
      </w:tr>
    </w:tbl>
    <w:p w14:paraId="37BFA4AA" w14:textId="77777777" w:rsidR="00765C0A" w:rsidRPr="00F15FB2" w:rsidRDefault="00765C0A" w:rsidP="00037701">
      <w:pPr>
        <w:ind w:firstLine="284"/>
        <w:jc w:val="center"/>
        <w:rPr>
          <w:b/>
          <w:bCs/>
          <w:sz w:val="32"/>
          <w:szCs w:val="32"/>
          <w:lang w:val="fr-FR"/>
        </w:rPr>
      </w:pPr>
    </w:p>
    <w:p w14:paraId="4E1CD131" w14:textId="77777777" w:rsidR="00765C0A" w:rsidRPr="00F15FB2" w:rsidRDefault="00765C0A" w:rsidP="00765C0A">
      <w:pPr>
        <w:jc w:val="center"/>
        <w:rPr>
          <w:b/>
          <w:sz w:val="24"/>
          <w:szCs w:val="24"/>
          <w:lang w:val="fr-FR"/>
        </w:rPr>
      </w:pPr>
      <w:r w:rsidRPr="00F15FB2">
        <w:rPr>
          <w:b/>
          <w:sz w:val="24"/>
          <w:szCs w:val="24"/>
          <w:lang w:val="fr-FR"/>
        </w:rPr>
        <w:t>Communiqué de Presse</w:t>
      </w:r>
    </w:p>
    <w:p w14:paraId="429230EC" w14:textId="77777777" w:rsidR="00765C0A" w:rsidRPr="00F15FB2" w:rsidRDefault="00765C0A" w:rsidP="00037701">
      <w:pPr>
        <w:ind w:firstLine="284"/>
        <w:jc w:val="center"/>
        <w:rPr>
          <w:b/>
          <w:bCs/>
          <w:sz w:val="32"/>
          <w:szCs w:val="32"/>
          <w:lang w:val="fr-FR"/>
        </w:rPr>
      </w:pPr>
    </w:p>
    <w:p w14:paraId="7D6BABB1" w14:textId="77777777" w:rsidR="00037701" w:rsidRPr="00F15FB2" w:rsidRDefault="00037701" w:rsidP="00037701">
      <w:pPr>
        <w:ind w:firstLine="284"/>
        <w:jc w:val="center"/>
        <w:rPr>
          <w:b/>
          <w:bCs/>
          <w:sz w:val="32"/>
          <w:szCs w:val="32"/>
          <w:lang w:val="fr-FR"/>
        </w:rPr>
      </w:pPr>
      <w:r w:rsidRPr="00F15FB2">
        <w:rPr>
          <w:b/>
          <w:bCs/>
          <w:sz w:val="28"/>
          <w:szCs w:val="28"/>
          <w:lang w:val="fr-FR"/>
        </w:rPr>
        <w:t>25 ans après le décès de Fayçal Baraket et de Rachid Chammakhi </w:t>
      </w:r>
      <w:r w:rsidRPr="00F15FB2">
        <w:rPr>
          <w:b/>
          <w:bCs/>
          <w:sz w:val="32"/>
          <w:szCs w:val="32"/>
          <w:lang w:val="fr-FR"/>
        </w:rPr>
        <w:t>:</w:t>
      </w:r>
    </w:p>
    <w:p w14:paraId="26A69CF7" w14:textId="77777777" w:rsidR="00037701" w:rsidRPr="00F15FB2" w:rsidRDefault="00037701" w:rsidP="00037701">
      <w:pPr>
        <w:ind w:firstLine="284"/>
        <w:jc w:val="center"/>
        <w:rPr>
          <w:sz w:val="36"/>
          <w:szCs w:val="36"/>
          <w:lang w:val="fr-FR"/>
        </w:rPr>
      </w:pPr>
      <w:r w:rsidRPr="00F15FB2">
        <w:rPr>
          <w:b/>
          <w:bCs/>
          <w:sz w:val="36"/>
          <w:szCs w:val="36"/>
          <w:lang w:val="fr-FR"/>
        </w:rPr>
        <w:t>L’impunité persiste</w:t>
      </w:r>
    </w:p>
    <w:p w14:paraId="60E0665A" w14:textId="77777777" w:rsidR="00765C0A" w:rsidRPr="00F15FB2" w:rsidRDefault="00765C0A" w:rsidP="00765C0A">
      <w:pPr>
        <w:jc w:val="both"/>
        <w:rPr>
          <w:rFonts w:asciiTheme="majorHAnsi" w:hAnsiTheme="majorHAnsi"/>
          <w:b/>
          <w:lang w:val="fr-FR"/>
        </w:rPr>
      </w:pPr>
    </w:p>
    <w:p w14:paraId="1BC3747F" w14:textId="77777777" w:rsidR="00765C0A" w:rsidRPr="00BA1A2B" w:rsidRDefault="00765C0A" w:rsidP="00765C0A">
      <w:pPr>
        <w:jc w:val="both"/>
        <w:rPr>
          <w:b/>
          <w:sz w:val="24"/>
          <w:szCs w:val="24"/>
          <w:lang w:val="fr-FR"/>
        </w:rPr>
      </w:pPr>
      <w:r w:rsidRPr="00BA1A2B">
        <w:rPr>
          <w:b/>
          <w:sz w:val="24"/>
          <w:szCs w:val="24"/>
          <w:lang w:val="fr-FR"/>
        </w:rPr>
        <w:t>Tunis (Tunisie), le 6 octobre 2016</w:t>
      </w:r>
    </w:p>
    <w:p w14:paraId="3458F1E5" w14:textId="73B61112" w:rsidR="002019EB" w:rsidRPr="00BA1A2B" w:rsidRDefault="00EA3C6A" w:rsidP="00037701">
      <w:pPr>
        <w:ind w:firstLine="284"/>
        <w:jc w:val="both"/>
        <w:rPr>
          <w:sz w:val="24"/>
          <w:szCs w:val="24"/>
          <w:lang w:val="fr-FR"/>
        </w:rPr>
      </w:pPr>
      <w:r w:rsidRPr="00BA1A2B">
        <w:rPr>
          <w:sz w:val="24"/>
          <w:szCs w:val="24"/>
          <w:lang w:val="fr-FR"/>
        </w:rPr>
        <w:t>Nous commémorons en ces jours le 25</w:t>
      </w:r>
      <w:r w:rsidRPr="00BA1A2B">
        <w:rPr>
          <w:sz w:val="24"/>
          <w:szCs w:val="24"/>
          <w:vertAlign w:val="superscript"/>
          <w:lang w:val="fr-FR"/>
        </w:rPr>
        <w:t>ème</w:t>
      </w:r>
      <w:r w:rsidRPr="00BA1A2B">
        <w:rPr>
          <w:sz w:val="24"/>
          <w:szCs w:val="24"/>
          <w:lang w:val="fr-FR"/>
        </w:rPr>
        <w:t xml:space="preserve"> anniversaire du décès de Fayçal Baraket </w:t>
      </w:r>
      <w:r w:rsidR="002019EB" w:rsidRPr="00BA1A2B">
        <w:rPr>
          <w:sz w:val="24"/>
          <w:szCs w:val="24"/>
          <w:lang w:val="fr-FR"/>
        </w:rPr>
        <w:t xml:space="preserve">et de </w:t>
      </w:r>
      <w:r w:rsidR="00AF126C">
        <w:rPr>
          <w:sz w:val="24"/>
          <w:szCs w:val="24"/>
          <w:lang w:val="fr-FR"/>
        </w:rPr>
        <w:t xml:space="preserve">Rachid </w:t>
      </w:r>
      <w:r w:rsidR="002019EB" w:rsidRPr="00BA1A2B">
        <w:rPr>
          <w:sz w:val="24"/>
          <w:szCs w:val="24"/>
          <w:lang w:val="fr-FR"/>
        </w:rPr>
        <w:t>Cha</w:t>
      </w:r>
      <w:r w:rsidR="00AF126C">
        <w:rPr>
          <w:sz w:val="24"/>
          <w:szCs w:val="24"/>
          <w:lang w:val="fr-FR"/>
        </w:rPr>
        <w:t>m</w:t>
      </w:r>
      <w:r w:rsidR="002019EB" w:rsidRPr="00BA1A2B">
        <w:rPr>
          <w:sz w:val="24"/>
          <w:szCs w:val="24"/>
          <w:lang w:val="fr-FR"/>
        </w:rPr>
        <w:t>makhi sous la torture.</w:t>
      </w:r>
    </w:p>
    <w:p w14:paraId="5344BC27" w14:textId="2D8BDE95" w:rsidR="005C44ED" w:rsidRPr="00BA1A2B" w:rsidRDefault="005C44ED" w:rsidP="00CD6341">
      <w:pPr>
        <w:ind w:firstLine="284"/>
        <w:jc w:val="both"/>
        <w:rPr>
          <w:sz w:val="24"/>
          <w:szCs w:val="24"/>
          <w:lang w:val="fr-FR"/>
        </w:rPr>
      </w:pPr>
      <w:r w:rsidRPr="00BA1A2B">
        <w:rPr>
          <w:sz w:val="24"/>
          <w:szCs w:val="24"/>
          <w:lang w:val="fr-FR"/>
        </w:rPr>
        <w:t xml:space="preserve">Deux jeunes </w:t>
      </w:r>
      <w:r w:rsidR="00CD6341">
        <w:rPr>
          <w:sz w:val="24"/>
          <w:szCs w:val="24"/>
          <w:lang w:val="fr-FR"/>
        </w:rPr>
        <w:t xml:space="preserve">militants, </w:t>
      </w:r>
      <w:r w:rsidRPr="00BA1A2B">
        <w:rPr>
          <w:sz w:val="24"/>
          <w:szCs w:val="24"/>
          <w:lang w:val="fr-FR"/>
        </w:rPr>
        <w:t xml:space="preserve">membres du parti "Mouvement </w:t>
      </w:r>
      <w:proofErr w:type="spellStart"/>
      <w:r w:rsidRPr="00BA1A2B">
        <w:rPr>
          <w:sz w:val="24"/>
          <w:szCs w:val="24"/>
          <w:lang w:val="fr-FR"/>
        </w:rPr>
        <w:t>Ennahdha</w:t>
      </w:r>
      <w:proofErr w:type="spellEnd"/>
      <w:r w:rsidRPr="00BA1A2B">
        <w:rPr>
          <w:sz w:val="24"/>
          <w:szCs w:val="24"/>
          <w:lang w:val="fr-FR"/>
        </w:rPr>
        <w:t>", arrêtés et torturés à mort en octobre 1991 dans le siège de la brigade des recherches de la Garde nationale de Nabeul. Les autorités ont essayé de camoufler leur décès en accident de la route commis par un inconnu pour Fayçal et en mort naturelle due à une insuffisance rénale pour Rachid. Tous les recours en justice tentés par les familles avant la révolution sont restés v</w:t>
      </w:r>
      <w:r w:rsidR="00CD6341">
        <w:rPr>
          <w:sz w:val="24"/>
          <w:szCs w:val="24"/>
          <w:lang w:val="fr-FR"/>
        </w:rPr>
        <w:t>ains. Aujourd’hui, malgré l’ouverture de</w:t>
      </w:r>
      <w:r w:rsidRPr="00BA1A2B">
        <w:rPr>
          <w:sz w:val="24"/>
          <w:szCs w:val="24"/>
          <w:lang w:val="fr-FR"/>
        </w:rPr>
        <w:t xml:space="preserve"> nouvelles procédures judiciaires, </w:t>
      </w:r>
      <w:r w:rsidR="00F155BE" w:rsidRPr="00BA1A2B">
        <w:rPr>
          <w:sz w:val="24"/>
          <w:szCs w:val="24"/>
          <w:lang w:val="fr-FR"/>
        </w:rPr>
        <w:t>celles-ci tardent à aboutir à un jugement des tortionnaires.</w:t>
      </w:r>
    </w:p>
    <w:p w14:paraId="0EF2F578" w14:textId="7EA4F82E" w:rsidR="00011793" w:rsidRPr="00BA1A2B" w:rsidRDefault="002C1509" w:rsidP="00CD6341">
      <w:pPr>
        <w:ind w:firstLine="284"/>
        <w:jc w:val="both"/>
        <w:rPr>
          <w:sz w:val="24"/>
          <w:szCs w:val="24"/>
          <w:lang w:val="fr-FR"/>
        </w:rPr>
      </w:pPr>
      <w:r w:rsidRPr="00BA1A2B">
        <w:rPr>
          <w:sz w:val="24"/>
          <w:szCs w:val="24"/>
          <w:lang w:val="fr-FR"/>
        </w:rPr>
        <w:t>Les deux cas de Baraket et Chamakhi sont des exemples flagrants de l’</w:t>
      </w:r>
      <w:r w:rsidR="00CD6341">
        <w:rPr>
          <w:sz w:val="24"/>
          <w:szCs w:val="24"/>
          <w:lang w:val="fr-FR"/>
        </w:rPr>
        <w:t>impunité qui continue de</w:t>
      </w:r>
      <w:r w:rsidR="00E73E13" w:rsidRPr="00BA1A2B">
        <w:rPr>
          <w:sz w:val="24"/>
          <w:szCs w:val="24"/>
          <w:lang w:val="fr-FR"/>
        </w:rPr>
        <w:t xml:space="preserve"> régner en Tunisi</w:t>
      </w:r>
      <w:r w:rsidR="00CD6341">
        <w:rPr>
          <w:sz w:val="24"/>
          <w:szCs w:val="24"/>
          <w:lang w:val="fr-FR"/>
        </w:rPr>
        <w:t>e. En effet,</w:t>
      </w:r>
      <w:r w:rsidR="00E73E13" w:rsidRPr="00BA1A2B">
        <w:rPr>
          <w:sz w:val="24"/>
          <w:szCs w:val="24"/>
          <w:lang w:val="fr-FR"/>
        </w:rPr>
        <w:t xml:space="preserve"> 25 ans se sont écoulé</w:t>
      </w:r>
      <w:r w:rsidR="00DF18EA" w:rsidRPr="00BA1A2B">
        <w:rPr>
          <w:sz w:val="24"/>
          <w:szCs w:val="24"/>
          <w:lang w:val="fr-FR"/>
        </w:rPr>
        <w:t>s</w:t>
      </w:r>
      <w:r w:rsidR="00E73E13" w:rsidRPr="00BA1A2B">
        <w:rPr>
          <w:sz w:val="24"/>
          <w:szCs w:val="24"/>
          <w:lang w:val="fr-FR"/>
        </w:rPr>
        <w:t xml:space="preserve"> depuis le décès de Fayçal et Rachid, </w:t>
      </w:r>
      <w:r w:rsidR="00CD6341">
        <w:rPr>
          <w:sz w:val="24"/>
          <w:szCs w:val="24"/>
          <w:lang w:val="fr-FR"/>
        </w:rPr>
        <w:t xml:space="preserve">25 ans durant lesquels leurs tortionnaires </w:t>
      </w:r>
      <w:r w:rsidR="00E73E13" w:rsidRPr="00BA1A2B">
        <w:rPr>
          <w:sz w:val="24"/>
          <w:szCs w:val="24"/>
          <w:lang w:val="fr-FR"/>
        </w:rPr>
        <w:t>n’ont toujours pas été inculpés.</w:t>
      </w:r>
      <w:r w:rsidR="00CD6341">
        <w:rPr>
          <w:sz w:val="24"/>
          <w:szCs w:val="24"/>
          <w:lang w:val="fr-FR"/>
        </w:rPr>
        <w:t xml:space="preserve"> </w:t>
      </w:r>
    </w:p>
    <w:p w14:paraId="19BFB325" w14:textId="77777777" w:rsidR="00CA0082" w:rsidRPr="00BA1A2B" w:rsidRDefault="00DF18EA">
      <w:pPr>
        <w:ind w:firstLine="284"/>
        <w:jc w:val="both"/>
        <w:rPr>
          <w:sz w:val="24"/>
          <w:szCs w:val="24"/>
          <w:lang w:val="fr-FR"/>
        </w:rPr>
      </w:pPr>
      <w:r w:rsidRPr="00BA1A2B">
        <w:rPr>
          <w:sz w:val="24"/>
          <w:szCs w:val="24"/>
          <w:lang w:val="fr-FR"/>
        </w:rPr>
        <w:t xml:space="preserve">L’Etat tunisien a ratifié la </w:t>
      </w:r>
      <w:r w:rsidR="00011793" w:rsidRPr="00BA1A2B">
        <w:rPr>
          <w:sz w:val="24"/>
          <w:szCs w:val="24"/>
          <w:lang w:val="fr-FR"/>
        </w:rPr>
        <w:t xml:space="preserve">Convention contre la torture et autres peines et traitements cruels, inhumains ou dégradants </w:t>
      </w:r>
      <w:r w:rsidR="00CA0082" w:rsidRPr="00BA1A2B">
        <w:rPr>
          <w:sz w:val="24"/>
          <w:szCs w:val="24"/>
          <w:lang w:val="fr-FR"/>
        </w:rPr>
        <w:t>dont</w:t>
      </w:r>
      <w:r w:rsidR="00011793" w:rsidRPr="00BA1A2B">
        <w:rPr>
          <w:sz w:val="24"/>
          <w:szCs w:val="24"/>
          <w:lang w:val="fr-FR"/>
        </w:rPr>
        <w:t xml:space="preserve"> l’article 12 </w:t>
      </w:r>
      <w:r w:rsidR="00E071B3" w:rsidRPr="00BA1A2B">
        <w:rPr>
          <w:sz w:val="24"/>
          <w:szCs w:val="24"/>
          <w:lang w:val="fr-FR"/>
        </w:rPr>
        <w:t>oblige tout Etat partie à veiller « </w:t>
      </w:r>
      <w:r w:rsidR="00E071B3" w:rsidRPr="00CD6341">
        <w:rPr>
          <w:i/>
          <w:iCs/>
          <w:sz w:val="24"/>
          <w:szCs w:val="24"/>
          <w:lang w:val="fr-FR"/>
        </w:rPr>
        <w:t>à ce que les autorités compétentes procèdent immédiatement à une enquête impartiale chaque fois qu'il y a des motifs raisonnables de croire qu'un acte de torture a été commis sur tout territoire sous sa juridiction </w:t>
      </w:r>
      <w:r w:rsidR="00E071B3" w:rsidRPr="00BA1A2B">
        <w:rPr>
          <w:sz w:val="24"/>
          <w:szCs w:val="24"/>
          <w:lang w:val="fr-FR"/>
        </w:rPr>
        <w:t>» et l’article 13 exige de tout Etat partie d’assurer « </w:t>
      </w:r>
      <w:r w:rsidR="00E071B3" w:rsidRPr="00CD6341">
        <w:rPr>
          <w:i/>
          <w:iCs/>
          <w:sz w:val="24"/>
          <w:szCs w:val="24"/>
          <w:lang w:val="fr-FR"/>
        </w:rPr>
        <w:t>à toute personne qui prétend avoir été soumise à la torture sur tout territoire sous sa juridiction le droit de porter plainte devant les autorités compétentes dudit Etat qui procéderont immédiatement et impartialement à l'examen de sa cause</w:t>
      </w:r>
      <w:r w:rsidR="00E071B3" w:rsidRPr="00BA1A2B">
        <w:rPr>
          <w:sz w:val="24"/>
          <w:szCs w:val="24"/>
          <w:lang w:val="fr-FR"/>
        </w:rPr>
        <w:t> »</w:t>
      </w:r>
      <w:r w:rsidR="00CA0082" w:rsidRPr="00BA1A2B">
        <w:rPr>
          <w:sz w:val="24"/>
          <w:szCs w:val="24"/>
          <w:lang w:val="fr-FR"/>
        </w:rPr>
        <w:t>.</w:t>
      </w:r>
    </w:p>
    <w:p w14:paraId="6A484EE8" w14:textId="77777777" w:rsidR="0012635A" w:rsidRPr="00BA1A2B" w:rsidRDefault="00CA0082">
      <w:pPr>
        <w:ind w:firstLine="284"/>
        <w:jc w:val="both"/>
        <w:rPr>
          <w:sz w:val="24"/>
          <w:szCs w:val="24"/>
          <w:lang w:val="fr-FR"/>
        </w:rPr>
      </w:pPr>
      <w:r w:rsidRPr="00BA1A2B">
        <w:rPr>
          <w:sz w:val="24"/>
          <w:szCs w:val="24"/>
          <w:lang w:val="fr-FR"/>
        </w:rPr>
        <w:lastRenderedPageBreak/>
        <w:t xml:space="preserve">Malgré ses obligations internationales, </w:t>
      </w:r>
      <w:r w:rsidR="00E071B3" w:rsidRPr="00BA1A2B">
        <w:rPr>
          <w:sz w:val="24"/>
          <w:szCs w:val="24"/>
          <w:lang w:val="fr-FR"/>
        </w:rPr>
        <w:t>les réformes juridiques et institutionnelle</w:t>
      </w:r>
      <w:r w:rsidR="00F15FB2" w:rsidRPr="00BA1A2B">
        <w:rPr>
          <w:sz w:val="24"/>
          <w:szCs w:val="24"/>
          <w:lang w:val="fr-FR"/>
        </w:rPr>
        <w:t>s</w:t>
      </w:r>
      <w:r w:rsidR="00E071B3" w:rsidRPr="00BA1A2B">
        <w:rPr>
          <w:sz w:val="24"/>
          <w:szCs w:val="24"/>
          <w:lang w:val="fr-FR"/>
        </w:rPr>
        <w:t xml:space="preserve"> introduites depuis 2011 et les nombreuses recommandations des instances internationales et de la société civile, </w:t>
      </w:r>
      <w:r w:rsidRPr="00BA1A2B">
        <w:rPr>
          <w:sz w:val="24"/>
          <w:szCs w:val="24"/>
          <w:lang w:val="fr-FR"/>
        </w:rPr>
        <w:t xml:space="preserve">l’Etat tunisien </w:t>
      </w:r>
      <w:r w:rsidR="00E071B3" w:rsidRPr="00BA1A2B">
        <w:rPr>
          <w:sz w:val="24"/>
          <w:szCs w:val="24"/>
          <w:lang w:val="fr-FR"/>
        </w:rPr>
        <w:t xml:space="preserve">ne fournit pas </w:t>
      </w:r>
      <w:r w:rsidR="0012635A" w:rsidRPr="00BA1A2B">
        <w:rPr>
          <w:sz w:val="24"/>
          <w:szCs w:val="24"/>
          <w:lang w:val="fr-FR"/>
        </w:rPr>
        <w:t xml:space="preserve">encore les efforts </w:t>
      </w:r>
      <w:r w:rsidRPr="00BA1A2B">
        <w:rPr>
          <w:sz w:val="24"/>
          <w:szCs w:val="24"/>
          <w:lang w:val="fr-FR"/>
        </w:rPr>
        <w:t>nécessaires</w:t>
      </w:r>
      <w:r w:rsidR="0012635A" w:rsidRPr="00BA1A2B">
        <w:rPr>
          <w:sz w:val="24"/>
          <w:szCs w:val="24"/>
          <w:lang w:val="fr-FR"/>
        </w:rPr>
        <w:t xml:space="preserve"> suffisants pour que justice soit faite. C’est ainsi qu’aucune des six décisions du CAT sur des cas individuels n’a été mise en </w:t>
      </w:r>
      <w:r w:rsidR="00607A48" w:rsidRPr="00BA1A2B">
        <w:rPr>
          <w:sz w:val="24"/>
          <w:szCs w:val="24"/>
          <w:lang w:val="fr-FR"/>
        </w:rPr>
        <w:t>application</w:t>
      </w:r>
      <w:r w:rsidR="0012635A" w:rsidRPr="00BA1A2B">
        <w:rPr>
          <w:sz w:val="24"/>
          <w:szCs w:val="24"/>
          <w:lang w:val="fr-FR"/>
        </w:rPr>
        <w:t>, et que malgré les centaines de cas présumés de torture enregistrés depuis 2011, un seul jugement pour torture a été rendu public.</w:t>
      </w:r>
    </w:p>
    <w:p w14:paraId="73080A85" w14:textId="77777777" w:rsidR="000D2B30" w:rsidRPr="00BA1A2B" w:rsidRDefault="000D2B30" w:rsidP="00037701">
      <w:pPr>
        <w:ind w:firstLine="284"/>
        <w:jc w:val="both"/>
        <w:rPr>
          <w:sz w:val="24"/>
          <w:szCs w:val="24"/>
          <w:lang w:val="fr-FR"/>
        </w:rPr>
      </w:pPr>
      <w:r w:rsidRPr="00BA1A2B">
        <w:rPr>
          <w:sz w:val="24"/>
          <w:szCs w:val="24"/>
          <w:lang w:val="fr-FR"/>
        </w:rPr>
        <w:t>L</w:t>
      </w:r>
      <w:r w:rsidR="00765C0A" w:rsidRPr="00BA1A2B">
        <w:rPr>
          <w:sz w:val="24"/>
          <w:szCs w:val="24"/>
          <w:lang w:val="fr-FR"/>
        </w:rPr>
        <w:t>es familles, l</w:t>
      </w:r>
      <w:r w:rsidRPr="00BA1A2B">
        <w:rPr>
          <w:sz w:val="24"/>
          <w:szCs w:val="24"/>
          <w:lang w:val="fr-FR"/>
        </w:rPr>
        <w:t xml:space="preserve">’Organisation Mondiale Contre la Torture (OMCT) </w:t>
      </w:r>
      <w:r w:rsidR="00765C0A" w:rsidRPr="00BA1A2B">
        <w:rPr>
          <w:sz w:val="24"/>
          <w:szCs w:val="24"/>
          <w:lang w:val="fr-FR"/>
        </w:rPr>
        <w:t xml:space="preserve">et Amnesty International </w:t>
      </w:r>
      <w:r w:rsidRPr="00BA1A2B">
        <w:rPr>
          <w:sz w:val="24"/>
          <w:szCs w:val="24"/>
          <w:lang w:val="fr-FR"/>
        </w:rPr>
        <w:t>appelle</w:t>
      </w:r>
      <w:r w:rsidR="00765C0A" w:rsidRPr="00BA1A2B">
        <w:rPr>
          <w:sz w:val="24"/>
          <w:szCs w:val="24"/>
          <w:lang w:val="fr-FR"/>
        </w:rPr>
        <w:t>nt</w:t>
      </w:r>
      <w:r w:rsidRPr="00BA1A2B">
        <w:rPr>
          <w:sz w:val="24"/>
          <w:szCs w:val="24"/>
          <w:lang w:val="fr-FR"/>
        </w:rPr>
        <w:t xml:space="preserve"> l’Etat tunisien à honorer ses obligations internationales en œuvrant à lever toutes les entraves juridiques, institutionnelles et pratiques qui empêchent les victimes de torture et autres peines et traitements cruels, inhumains ou dégradants </w:t>
      </w:r>
      <w:r w:rsidR="00030623" w:rsidRPr="00BA1A2B">
        <w:rPr>
          <w:sz w:val="24"/>
          <w:szCs w:val="24"/>
          <w:lang w:val="fr-FR"/>
        </w:rPr>
        <w:t>de poursuivre leur</w:t>
      </w:r>
      <w:r w:rsidR="00476572" w:rsidRPr="00BA1A2B">
        <w:rPr>
          <w:sz w:val="24"/>
          <w:szCs w:val="24"/>
          <w:lang w:val="fr-FR"/>
        </w:rPr>
        <w:t>s</w:t>
      </w:r>
      <w:r w:rsidR="00030623" w:rsidRPr="00BA1A2B">
        <w:rPr>
          <w:sz w:val="24"/>
          <w:szCs w:val="24"/>
          <w:lang w:val="fr-FR"/>
        </w:rPr>
        <w:t xml:space="preserve"> tortionnaires et d’obtenir la reconnaissance et les réparations auxquels ils ont droit.</w:t>
      </w:r>
    </w:p>
    <w:p w14:paraId="16889445" w14:textId="77777777" w:rsidR="00476572" w:rsidRPr="00BA1A2B" w:rsidRDefault="00476572" w:rsidP="00037701">
      <w:pPr>
        <w:ind w:firstLine="284"/>
        <w:jc w:val="both"/>
        <w:rPr>
          <w:sz w:val="24"/>
          <w:szCs w:val="24"/>
          <w:lang w:val="fr-FR"/>
        </w:rPr>
      </w:pPr>
      <w:r w:rsidRPr="00BA1A2B">
        <w:rPr>
          <w:sz w:val="24"/>
          <w:szCs w:val="24"/>
          <w:lang w:val="fr-FR"/>
        </w:rPr>
        <w:t>Que justice soit faite !</w:t>
      </w:r>
    </w:p>
    <w:p w14:paraId="10ACC99A" w14:textId="77777777" w:rsidR="00765C0A" w:rsidRPr="00BA1A2B" w:rsidRDefault="00765C0A" w:rsidP="00765C0A">
      <w:pPr>
        <w:spacing w:after="0" w:line="240" w:lineRule="auto"/>
        <w:jc w:val="both"/>
        <w:rPr>
          <w:sz w:val="24"/>
          <w:szCs w:val="24"/>
          <w:lang w:val="fr-FR"/>
        </w:rPr>
      </w:pPr>
    </w:p>
    <w:p w14:paraId="4FBEC4B4" w14:textId="77777777" w:rsidR="00F15FB2" w:rsidRDefault="00F15FB2" w:rsidP="00765C0A">
      <w:pPr>
        <w:spacing w:after="0" w:line="240" w:lineRule="auto"/>
        <w:jc w:val="both"/>
        <w:rPr>
          <w:sz w:val="24"/>
          <w:szCs w:val="24"/>
          <w:lang w:val="fr-FR"/>
        </w:rPr>
      </w:pPr>
    </w:p>
    <w:p w14:paraId="648D0A3A" w14:textId="77777777" w:rsidR="00BA1A2B" w:rsidRDefault="00BA1A2B" w:rsidP="00765C0A">
      <w:pPr>
        <w:spacing w:after="0" w:line="240" w:lineRule="auto"/>
        <w:jc w:val="both"/>
        <w:rPr>
          <w:sz w:val="24"/>
          <w:szCs w:val="24"/>
          <w:lang w:val="fr-FR"/>
        </w:rPr>
      </w:pPr>
    </w:p>
    <w:p w14:paraId="11CE2EEF" w14:textId="77777777" w:rsidR="00BA1A2B" w:rsidRPr="00BA1A2B" w:rsidRDefault="00BA1A2B" w:rsidP="00765C0A">
      <w:pPr>
        <w:spacing w:after="0" w:line="240" w:lineRule="auto"/>
        <w:jc w:val="both"/>
        <w:rPr>
          <w:sz w:val="24"/>
          <w:szCs w:val="24"/>
          <w:lang w:val="fr-FR"/>
        </w:rPr>
      </w:pPr>
    </w:p>
    <w:p w14:paraId="2DEB54D3" w14:textId="77777777" w:rsidR="00765C0A" w:rsidRPr="00BA1A2B" w:rsidRDefault="00765C0A" w:rsidP="00765C0A">
      <w:pPr>
        <w:spacing w:after="0" w:line="240" w:lineRule="auto"/>
        <w:jc w:val="both"/>
        <w:rPr>
          <w:b/>
          <w:sz w:val="24"/>
          <w:szCs w:val="24"/>
          <w:lang w:val="fr-FR"/>
        </w:rPr>
      </w:pPr>
      <w:r w:rsidRPr="00BA1A2B">
        <w:rPr>
          <w:b/>
          <w:sz w:val="24"/>
          <w:szCs w:val="24"/>
          <w:lang w:val="fr-FR"/>
        </w:rPr>
        <w:t xml:space="preserve">Pour plus d’information, veuillez contacter: </w:t>
      </w:r>
    </w:p>
    <w:p w14:paraId="3821FFDD" w14:textId="77777777" w:rsidR="00F15FB2" w:rsidRPr="00BA1A2B" w:rsidRDefault="00F15FB2" w:rsidP="00765C0A">
      <w:pPr>
        <w:spacing w:after="0" w:line="240" w:lineRule="auto"/>
        <w:jc w:val="both"/>
        <w:rPr>
          <w:b/>
          <w:sz w:val="24"/>
          <w:szCs w:val="24"/>
          <w:lang w:val="fr-FR"/>
        </w:rPr>
      </w:pPr>
    </w:p>
    <w:p w14:paraId="0B6199A1" w14:textId="785A509C" w:rsidR="00765C0A" w:rsidRPr="00BA1A2B" w:rsidRDefault="00765C0A" w:rsidP="00765C0A">
      <w:pPr>
        <w:spacing w:after="0" w:line="240" w:lineRule="auto"/>
        <w:jc w:val="both"/>
        <w:rPr>
          <w:sz w:val="24"/>
          <w:szCs w:val="24"/>
          <w:lang w:val="fr-FR"/>
        </w:rPr>
      </w:pPr>
      <w:r w:rsidRPr="00BA1A2B">
        <w:rPr>
          <w:b/>
          <w:sz w:val="24"/>
          <w:szCs w:val="24"/>
          <w:lang w:val="fr-FR"/>
        </w:rPr>
        <w:t xml:space="preserve">OMCT, </w:t>
      </w:r>
      <w:r w:rsidRPr="00BA1A2B">
        <w:rPr>
          <w:sz w:val="24"/>
          <w:szCs w:val="24"/>
          <w:lang w:val="fr-FR"/>
        </w:rPr>
        <w:t>Mohamed Mzem,</w:t>
      </w:r>
      <w:r w:rsidR="00F15FB2" w:rsidRPr="00BA1A2B">
        <w:rPr>
          <w:sz w:val="24"/>
          <w:szCs w:val="24"/>
          <w:lang w:val="fr-FR"/>
        </w:rPr>
        <w:t xml:space="preserve"> Conseiller juridique, 20 490 360,</w:t>
      </w:r>
      <w:r w:rsidRPr="00BA1A2B">
        <w:rPr>
          <w:sz w:val="24"/>
          <w:szCs w:val="24"/>
          <w:lang w:val="fr-FR"/>
        </w:rPr>
        <w:t xml:space="preserve"> </w:t>
      </w:r>
      <w:hyperlink r:id="rId8" w:history="1">
        <w:r w:rsidRPr="00BA1A2B">
          <w:rPr>
            <w:rStyle w:val="Hyperlink"/>
            <w:sz w:val="24"/>
            <w:szCs w:val="24"/>
            <w:lang w:val="fr-FR"/>
          </w:rPr>
          <w:t>mm@omct.org</w:t>
        </w:r>
      </w:hyperlink>
    </w:p>
    <w:p w14:paraId="3A4F6EE2" w14:textId="7D4C0101" w:rsidR="00765C0A" w:rsidRDefault="00765C0A" w:rsidP="00E51187">
      <w:pPr>
        <w:spacing w:after="0" w:line="240" w:lineRule="auto"/>
        <w:jc w:val="both"/>
        <w:rPr>
          <w:sz w:val="24"/>
          <w:szCs w:val="24"/>
          <w:lang w:val="fr-FR"/>
        </w:rPr>
      </w:pPr>
      <w:r w:rsidRPr="00BA1A2B">
        <w:rPr>
          <w:b/>
          <w:sz w:val="24"/>
          <w:szCs w:val="24"/>
          <w:lang w:val="fr-FR"/>
        </w:rPr>
        <w:t xml:space="preserve">Amnesty International, </w:t>
      </w:r>
      <w:r w:rsidRPr="00BA1A2B">
        <w:rPr>
          <w:sz w:val="24"/>
          <w:szCs w:val="24"/>
          <w:lang w:val="fr-FR"/>
        </w:rPr>
        <w:t xml:space="preserve">Lotfi Azzouz, </w:t>
      </w:r>
      <w:r w:rsidR="00E51187">
        <w:rPr>
          <w:sz w:val="24"/>
          <w:szCs w:val="24"/>
          <w:lang w:val="fr-FR"/>
        </w:rPr>
        <w:t xml:space="preserve">98 911 226, </w:t>
      </w:r>
      <w:hyperlink r:id="rId9" w:history="1">
        <w:r w:rsidR="00E51187" w:rsidRPr="007A440D">
          <w:rPr>
            <w:rStyle w:val="Hyperlink"/>
            <w:sz w:val="24"/>
            <w:szCs w:val="24"/>
            <w:lang w:val="fr-FR"/>
          </w:rPr>
          <w:t>lotfiazzouz@gmail.com</w:t>
        </w:r>
      </w:hyperlink>
    </w:p>
    <w:p w14:paraId="145DB330" w14:textId="77777777" w:rsidR="00765C0A" w:rsidRPr="00BA1A2B" w:rsidRDefault="00765C0A" w:rsidP="00765C0A">
      <w:pPr>
        <w:spacing w:after="0" w:line="240" w:lineRule="auto"/>
        <w:jc w:val="both"/>
        <w:rPr>
          <w:sz w:val="24"/>
          <w:szCs w:val="24"/>
          <w:lang w:val="fr-FR"/>
        </w:rPr>
      </w:pPr>
    </w:p>
    <w:p w14:paraId="47B9FB62" w14:textId="77777777" w:rsidR="006A1941" w:rsidRDefault="006A1941" w:rsidP="00765C0A">
      <w:pPr>
        <w:jc w:val="both"/>
        <w:rPr>
          <w:b/>
          <w:bCs/>
          <w:sz w:val="24"/>
          <w:szCs w:val="24"/>
          <w:lang w:val="fr-FR"/>
        </w:rPr>
      </w:pPr>
    </w:p>
    <w:p w14:paraId="69AFFF2B" w14:textId="47F101AD" w:rsidR="00765C0A" w:rsidRPr="006A1941" w:rsidRDefault="006A1941" w:rsidP="00765C0A">
      <w:pPr>
        <w:jc w:val="both"/>
        <w:rPr>
          <w:b/>
          <w:bCs/>
          <w:sz w:val="24"/>
          <w:szCs w:val="24"/>
          <w:lang w:val="fr-FR"/>
        </w:rPr>
      </w:pPr>
      <w:r w:rsidRPr="006A1941">
        <w:rPr>
          <w:b/>
          <w:bCs/>
          <w:sz w:val="24"/>
          <w:szCs w:val="24"/>
          <w:lang w:val="fr-FR"/>
        </w:rPr>
        <w:t>Pour en savoir plus :</w:t>
      </w:r>
    </w:p>
    <w:p w14:paraId="273E4240" w14:textId="4713E7B4" w:rsidR="006A1941" w:rsidRDefault="006A1941" w:rsidP="006A1941">
      <w:pPr>
        <w:spacing w:after="0" w:line="240" w:lineRule="auto"/>
        <w:jc w:val="both"/>
        <w:rPr>
          <w:sz w:val="24"/>
          <w:szCs w:val="24"/>
          <w:lang w:val="fr-FR"/>
        </w:rPr>
      </w:pPr>
      <w:r>
        <w:rPr>
          <w:sz w:val="24"/>
          <w:szCs w:val="24"/>
          <w:lang w:val="fr-FR"/>
        </w:rPr>
        <w:t xml:space="preserve">Décision du CAT </w:t>
      </w:r>
      <w:r w:rsidRPr="006A1941">
        <w:rPr>
          <w:lang w:val="fr-FR"/>
        </w:rPr>
        <w:t xml:space="preserve">CAT/C/23/D/60/1996 </w:t>
      </w:r>
      <w:r>
        <w:rPr>
          <w:sz w:val="24"/>
          <w:szCs w:val="24"/>
          <w:lang w:val="fr-FR"/>
        </w:rPr>
        <w:t xml:space="preserve">en faveur de feu Fayçal Baraket : </w:t>
      </w:r>
    </w:p>
    <w:p w14:paraId="617E3548" w14:textId="1A804EFE" w:rsidR="006A1941" w:rsidRDefault="006648AA" w:rsidP="006A1941">
      <w:pPr>
        <w:spacing w:after="0" w:line="240" w:lineRule="auto"/>
        <w:jc w:val="both"/>
        <w:rPr>
          <w:sz w:val="24"/>
          <w:szCs w:val="24"/>
          <w:lang w:val="fr-FR"/>
        </w:rPr>
      </w:pPr>
      <w:hyperlink r:id="rId10" w:history="1">
        <w:r w:rsidR="006A1941" w:rsidRPr="00600693">
          <w:rPr>
            <w:rStyle w:val="Hyperlink"/>
            <w:sz w:val="24"/>
            <w:szCs w:val="24"/>
            <w:lang w:val="fr-FR"/>
          </w:rPr>
          <w:t>http://omct-tunisie.org/wp-content/uploads/2016/PressRelease/Past/G0040492.pdf</w:t>
        </w:r>
      </w:hyperlink>
    </w:p>
    <w:p w14:paraId="733EDF4B" w14:textId="77777777" w:rsidR="00967FC8" w:rsidRDefault="00967FC8" w:rsidP="00765C0A">
      <w:pPr>
        <w:jc w:val="both"/>
        <w:rPr>
          <w:sz w:val="24"/>
          <w:szCs w:val="24"/>
          <w:lang w:val="fr-FR"/>
        </w:rPr>
      </w:pPr>
    </w:p>
    <w:p w14:paraId="1FDD0072" w14:textId="6EB9611E" w:rsidR="00BA1A2B" w:rsidRDefault="002F5E24" w:rsidP="00765C0A">
      <w:pPr>
        <w:jc w:val="both"/>
        <w:rPr>
          <w:sz w:val="24"/>
          <w:szCs w:val="24"/>
          <w:lang w:val="fr-FR"/>
        </w:rPr>
      </w:pPr>
      <w:r>
        <w:rPr>
          <w:sz w:val="24"/>
          <w:szCs w:val="24"/>
          <w:lang w:val="fr-FR"/>
        </w:rPr>
        <w:t xml:space="preserve">« Quand les ossements livrent leur secret », Amnesty international, 2013 : </w:t>
      </w:r>
    </w:p>
    <w:p w14:paraId="10662B49" w14:textId="36A64BF3" w:rsidR="00BA1A2B" w:rsidRPr="00A36493" w:rsidRDefault="006648AA" w:rsidP="00A36493">
      <w:pPr>
        <w:jc w:val="both"/>
        <w:rPr>
          <w:sz w:val="24"/>
          <w:szCs w:val="24"/>
          <w:lang w:val="fr-FR"/>
        </w:rPr>
      </w:pPr>
      <w:hyperlink r:id="rId11" w:history="1">
        <w:r w:rsidR="00967FC8" w:rsidRPr="00600693">
          <w:rPr>
            <w:rStyle w:val="Hyperlink"/>
            <w:sz w:val="24"/>
            <w:szCs w:val="24"/>
            <w:lang w:val="fr-FR"/>
          </w:rPr>
          <w:t>http://www.amnesty.fr/Nos-campagnes/Stop-Torture/Actualites/Tunisie-justice-doit-etre-rendue-22-ans-apres-la-mort-sous-la-torture-de-Faysal-Baraket-9618</w:t>
        </w:r>
      </w:hyperlink>
    </w:p>
    <w:p w14:paraId="7FC36782" w14:textId="77777777" w:rsidR="00CD6341" w:rsidRDefault="00CD6341" w:rsidP="00765C0A">
      <w:pPr>
        <w:jc w:val="both"/>
        <w:rPr>
          <w:sz w:val="20"/>
          <w:szCs w:val="20"/>
          <w:lang w:val="fr-FR"/>
        </w:rPr>
      </w:pPr>
    </w:p>
    <w:p w14:paraId="0666D38D" w14:textId="77777777" w:rsidR="00CD6341" w:rsidRDefault="00CD6341" w:rsidP="00765C0A">
      <w:pPr>
        <w:jc w:val="both"/>
        <w:rPr>
          <w:sz w:val="20"/>
          <w:szCs w:val="20"/>
          <w:lang w:val="fr-FR"/>
        </w:rPr>
      </w:pPr>
    </w:p>
    <w:p w14:paraId="31CE7C4D" w14:textId="77777777" w:rsidR="00CD6341" w:rsidRPr="00CD6341" w:rsidRDefault="00CD6341" w:rsidP="00765C0A">
      <w:pPr>
        <w:jc w:val="both"/>
        <w:rPr>
          <w:sz w:val="20"/>
          <w:szCs w:val="20"/>
          <w:lang w:val="fr-FR"/>
        </w:rPr>
      </w:pPr>
    </w:p>
    <w:p w14:paraId="1B0FE4C4" w14:textId="77777777" w:rsidR="004E4B25" w:rsidRDefault="00CD6341" w:rsidP="004E4B25">
      <w:pPr>
        <w:pBdr>
          <w:top w:val="single" w:sz="4" w:space="1" w:color="auto"/>
          <w:left w:val="single" w:sz="4" w:space="4" w:color="auto"/>
          <w:bottom w:val="single" w:sz="4" w:space="0" w:color="auto"/>
          <w:right w:val="single" w:sz="4" w:space="4" w:color="auto"/>
        </w:pBdr>
        <w:spacing w:after="0" w:line="240" w:lineRule="auto"/>
        <w:jc w:val="both"/>
        <w:rPr>
          <w:i/>
          <w:sz w:val="20"/>
          <w:szCs w:val="20"/>
          <w:lang w:val="fr-FR"/>
        </w:rPr>
      </w:pPr>
      <w:r w:rsidRPr="00CD6341">
        <w:rPr>
          <w:i/>
          <w:sz w:val="20"/>
          <w:szCs w:val="20"/>
          <w:lang w:val="fr-FR"/>
        </w:rPr>
        <w:t xml:space="preserve">L’organisation mondiale contre la torture (OMCT) mène des actions de plaidoyer auprès des différentes institutions de l’Etat pour assurer la mise en conformité de la législation tunisienne avec ses obligations constitutionnelles et internationales, plus particulièrement les observations générales émises par le Comité des Nations Unies contre la torture à l’adresse de la Tunisie. </w:t>
      </w:r>
    </w:p>
    <w:p w14:paraId="58313F76" w14:textId="24BC7807" w:rsidR="00BA1A2B" w:rsidRPr="00A36493" w:rsidRDefault="00CD6341" w:rsidP="00A36493">
      <w:pPr>
        <w:pBdr>
          <w:top w:val="single" w:sz="4" w:space="1" w:color="auto"/>
          <w:left w:val="single" w:sz="4" w:space="4" w:color="auto"/>
          <w:bottom w:val="single" w:sz="4" w:space="0" w:color="auto"/>
          <w:right w:val="single" w:sz="4" w:space="4" w:color="auto"/>
        </w:pBdr>
        <w:spacing w:after="0" w:line="240" w:lineRule="auto"/>
        <w:jc w:val="both"/>
        <w:rPr>
          <w:i/>
          <w:sz w:val="20"/>
          <w:szCs w:val="20"/>
          <w:lang w:val="fr-FR"/>
        </w:rPr>
      </w:pPr>
      <w:r w:rsidRPr="00CD6341">
        <w:rPr>
          <w:i/>
          <w:sz w:val="20"/>
          <w:szCs w:val="20"/>
          <w:lang w:val="fr-FR"/>
        </w:rPr>
        <w:t>Pour plus d’information, veuillez contacter :</w:t>
      </w:r>
      <w:r w:rsidR="004E4B25">
        <w:rPr>
          <w:i/>
          <w:sz w:val="20"/>
          <w:szCs w:val="20"/>
          <w:lang w:val="fr-FR"/>
        </w:rPr>
        <w:t xml:space="preserve"> </w:t>
      </w:r>
      <w:r w:rsidRPr="00CD6341">
        <w:rPr>
          <w:i/>
          <w:sz w:val="20"/>
          <w:szCs w:val="20"/>
          <w:lang w:val="fr-FR"/>
        </w:rPr>
        <w:t xml:space="preserve">Camille Henry, coordinatrice plaidoyer et lobbying, </w:t>
      </w:r>
      <w:hyperlink r:id="rId12" w:history="1">
        <w:r w:rsidRPr="00CD6341">
          <w:rPr>
            <w:rStyle w:val="Hyperlink"/>
            <w:i/>
            <w:sz w:val="20"/>
            <w:szCs w:val="20"/>
            <w:lang w:val="fr-FR"/>
          </w:rPr>
          <w:t>ch@omct.org</w:t>
        </w:r>
      </w:hyperlink>
      <w:r w:rsidR="004E4B25">
        <w:rPr>
          <w:i/>
          <w:sz w:val="20"/>
          <w:szCs w:val="20"/>
          <w:lang w:val="fr-FR"/>
        </w:rPr>
        <w:t>.</w:t>
      </w:r>
    </w:p>
    <w:sectPr w:rsidR="00BA1A2B" w:rsidRPr="00A36493" w:rsidSect="00BA1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oufik">
    <w15:presenceInfo w15:providerId="None" w15:userId="Taouf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C6A"/>
    <w:rsid w:val="00004688"/>
    <w:rsid w:val="00011793"/>
    <w:rsid w:val="00030623"/>
    <w:rsid w:val="00037701"/>
    <w:rsid w:val="000C6372"/>
    <w:rsid w:val="000D2B30"/>
    <w:rsid w:val="0011104F"/>
    <w:rsid w:val="0012635A"/>
    <w:rsid w:val="002019EB"/>
    <w:rsid w:val="002A748F"/>
    <w:rsid w:val="002C1509"/>
    <w:rsid w:val="002F21FF"/>
    <w:rsid w:val="002F5E24"/>
    <w:rsid w:val="003B2E16"/>
    <w:rsid w:val="00476572"/>
    <w:rsid w:val="00492ED7"/>
    <w:rsid w:val="004E4B25"/>
    <w:rsid w:val="005C44ED"/>
    <w:rsid w:val="00607A48"/>
    <w:rsid w:val="00662831"/>
    <w:rsid w:val="006648AA"/>
    <w:rsid w:val="006A1941"/>
    <w:rsid w:val="007418CB"/>
    <w:rsid w:val="00743CBE"/>
    <w:rsid w:val="00765C0A"/>
    <w:rsid w:val="007D777E"/>
    <w:rsid w:val="00890630"/>
    <w:rsid w:val="00890A7F"/>
    <w:rsid w:val="00967FC8"/>
    <w:rsid w:val="00A14805"/>
    <w:rsid w:val="00A36493"/>
    <w:rsid w:val="00A632E1"/>
    <w:rsid w:val="00AF126C"/>
    <w:rsid w:val="00B65219"/>
    <w:rsid w:val="00BA1A2B"/>
    <w:rsid w:val="00CA0082"/>
    <w:rsid w:val="00CD6341"/>
    <w:rsid w:val="00D131E4"/>
    <w:rsid w:val="00D85F3A"/>
    <w:rsid w:val="00D95F50"/>
    <w:rsid w:val="00DC63D0"/>
    <w:rsid w:val="00DF18EA"/>
    <w:rsid w:val="00E071B3"/>
    <w:rsid w:val="00E51187"/>
    <w:rsid w:val="00E73E13"/>
    <w:rsid w:val="00EA3C6A"/>
    <w:rsid w:val="00EE6513"/>
    <w:rsid w:val="00F04F91"/>
    <w:rsid w:val="00F155BE"/>
    <w:rsid w:val="00F15FB2"/>
    <w:rsid w:val="00F51D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A6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5F3A"/>
    <w:rPr>
      <w:sz w:val="16"/>
      <w:szCs w:val="16"/>
    </w:rPr>
  </w:style>
  <w:style w:type="paragraph" w:styleId="CommentText">
    <w:name w:val="annotation text"/>
    <w:basedOn w:val="Normal"/>
    <w:link w:val="CommentTextChar"/>
    <w:uiPriority w:val="99"/>
    <w:semiHidden/>
    <w:unhideWhenUsed/>
    <w:rsid w:val="00D85F3A"/>
    <w:pPr>
      <w:spacing w:line="240" w:lineRule="auto"/>
    </w:pPr>
    <w:rPr>
      <w:sz w:val="20"/>
      <w:szCs w:val="20"/>
    </w:rPr>
  </w:style>
  <w:style w:type="character" w:customStyle="1" w:styleId="CommentTextChar">
    <w:name w:val="Comment Text Char"/>
    <w:basedOn w:val="DefaultParagraphFont"/>
    <w:link w:val="CommentText"/>
    <w:uiPriority w:val="99"/>
    <w:semiHidden/>
    <w:rsid w:val="00D85F3A"/>
    <w:rPr>
      <w:sz w:val="20"/>
      <w:szCs w:val="20"/>
    </w:rPr>
  </w:style>
  <w:style w:type="paragraph" w:styleId="CommentSubject">
    <w:name w:val="annotation subject"/>
    <w:basedOn w:val="CommentText"/>
    <w:next w:val="CommentText"/>
    <w:link w:val="CommentSubjectChar"/>
    <w:uiPriority w:val="99"/>
    <w:semiHidden/>
    <w:unhideWhenUsed/>
    <w:rsid w:val="00D85F3A"/>
    <w:rPr>
      <w:b/>
      <w:bCs/>
    </w:rPr>
  </w:style>
  <w:style w:type="character" w:customStyle="1" w:styleId="CommentSubjectChar">
    <w:name w:val="Comment Subject Char"/>
    <w:basedOn w:val="CommentTextChar"/>
    <w:link w:val="CommentSubject"/>
    <w:uiPriority w:val="99"/>
    <w:semiHidden/>
    <w:rsid w:val="00D85F3A"/>
    <w:rPr>
      <w:b/>
      <w:bCs/>
      <w:sz w:val="20"/>
      <w:szCs w:val="20"/>
    </w:rPr>
  </w:style>
  <w:style w:type="paragraph" w:styleId="BalloonText">
    <w:name w:val="Balloon Text"/>
    <w:basedOn w:val="Normal"/>
    <w:link w:val="BalloonTextChar"/>
    <w:uiPriority w:val="99"/>
    <w:semiHidden/>
    <w:unhideWhenUsed/>
    <w:rsid w:val="00D85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F3A"/>
    <w:rPr>
      <w:rFonts w:ascii="Segoe UI" w:hAnsi="Segoe UI" w:cs="Segoe UI"/>
      <w:sz w:val="18"/>
      <w:szCs w:val="18"/>
    </w:rPr>
  </w:style>
  <w:style w:type="table" w:styleId="TableGrid">
    <w:name w:val="Table Grid"/>
    <w:basedOn w:val="TableNormal"/>
    <w:uiPriority w:val="39"/>
    <w:rsid w:val="00765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5C0A"/>
    <w:rPr>
      <w:color w:val="0563C1" w:themeColor="hyperlink"/>
      <w:u w:val="single"/>
    </w:rPr>
  </w:style>
  <w:style w:type="character" w:styleId="FollowedHyperlink">
    <w:name w:val="FollowedHyperlink"/>
    <w:basedOn w:val="DefaultParagraphFont"/>
    <w:uiPriority w:val="99"/>
    <w:semiHidden/>
    <w:unhideWhenUsed/>
    <w:rsid w:val="00967FC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5F3A"/>
    <w:rPr>
      <w:sz w:val="16"/>
      <w:szCs w:val="16"/>
    </w:rPr>
  </w:style>
  <w:style w:type="paragraph" w:styleId="CommentText">
    <w:name w:val="annotation text"/>
    <w:basedOn w:val="Normal"/>
    <w:link w:val="CommentTextChar"/>
    <w:uiPriority w:val="99"/>
    <w:semiHidden/>
    <w:unhideWhenUsed/>
    <w:rsid w:val="00D85F3A"/>
    <w:pPr>
      <w:spacing w:line="240" w:lineRule="auto"/>
    </w:pPr>
    <w:rPr>
      <w:sz w:val="20"/>
      <w:szCs w:val="20"/>
    </w:rPr>
  </w:style>
  <w:style w:type="character" w:customStyle="1" w:styleId="CommentTextChar">
    <w:name w:val="Comment Text Char"/>
    <w:basedOn w:val="DefaultParagraphFont"/>
    <w:link w:val="CommentText"/>
    <w:uiPriority w:val="99"/>
    <w:semiHidden/>
    <w:rsid w:val="00D85F3A"/>
    <w:rPr>
      <w:sz w:val="20"/>
      <w:szCs w:val="20"/>
    </w:rPr>
  </w:style>
  <w:style w:type="paragraph" w:styleId="CommentSubject">
    <w:name w:val="annotation subject"/>
    <w:basedOn w:val="CommentText"/>
    <w:next w:val="CommentText"/>
    <w:link w:val="CommentSubjectChar"/>
    <w:uiPriority w:val="99"/>
    <w:semiHidden/>
    <w:unhideWhenUsed/>
    <w:rsid w:val="00D85F3A"/>
    <w:rPr>
      <w:b/>
      <w:bCs/>
    </w:rPr>
  </w:style>
  <w:style w:type="character" w:customStyle="1" w:styleId="CommentSubjectChar">
    <w:name w:val="Comment Subject Char"/>
    <w:basedOn w:val="CommentTextChar"/>
    <w:link w:val="CommentSubject"/>
    <w:uiPriority w:val="99"/>
    <w:semiHidden/>
    <w:rsid w:val="00D85F3A"/>
    <w:rPr>
      <w:b/>
      <w:bCs/>
      <w:sz w:val="20"/>
      <w:szCs w:val="20"/>
    </w:rPr>
  </w:style>
  <w:style w:type="paragraph" w:styleId="BalloonText">
    <w:name w:val="Balloon Text"/>
    <w:basedOn w:val="Normal"/>
    <w:link w:val="BalloonTextChar"/>
    <w:uiPriority w:val="99"/>
    <w:semiHidden/>
    <w:unhideWhenUsed/>
    <w:rsid w:val="00D85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F3A"/>
    <w:rPr>
      <w:rFonts w:ascii="Segoe UI" w:hAnsi="Segoe UI" w:cs="Segoe UI"/>
      <w:sz w:val="18"/>
      <w:szCs w:val="18"/>
    </w:rPr>
  </w:style>
  <w:style w:type="table" w:styleId="TableGrid">
    <w:name w:val="Table Grid"/>
    <w:basedOn w:val="TableNormal"/>
    <w:uiPriority w:val="39"/>
    <w:rsid w:val="00765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5C0A"/>
    <w:rPr>
      <w:color w:val="0563C1" w:themeColor="hyperlink"/>
      <w:u w:val="single"/>
    </w:rPr>
  </w:style>
  <w:style w:type="character" w:styleId="FollowedHyperlink">
    <w:name w:val="FollowedHyperlink"/>
    <w:basedOn w:val="DefaultParagraphFont"/>
    <w:uiPriority w:val="99"/>
    <w:semiHidden/>
    <w:unhideWhenUsed/>
    <w:rsid w:val="00967F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mnesty.fr/Nos-campagnes/Stop-Torture/Actualites/Tunisie-justice-doit-etre-rendue-22-ans-apres-la-mort-sous-la-torture-de-Faysal-Baraket-9618" TargetMode="External"/><Relationship Id="rId12" Type="http://schemas.openxmlformats.org/officeDocument/2006/relationships/hyperlink" Target="mailto:ch@omct.org"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mailto:mm@omct.org" TargetMode="External"/><Relationship Id="rId9" Type="http://schemas.openxmlformats.org/officeDocument/2006/relationships/hyperlink" Target="mailto:lotfiazzouz@gmail.com" TargetMode="External"/><Relationship Id="rId10" Type="http://schemas.openxmlformats.org/officeDocument/2006/relationships/hyperlink" Target="http://omct-tunisie.org/wp-content/uploads/2016/PressRelease/Past/G00404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3687</Characters>
  <Application>Microsoft Macintosh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Taoufik</dc:creator>
  <cp:lastModifiedBy>Lori Brumat</cp:lastModifiedBy>
  <cp:revision>2</cp:revision>
  <cp:lastPrinted>2016-10-05T10:42:00Z</cp:lastPrinted>
  <dcterms:created xsi:type="dcterms:W3CDTF">2016-10-07T14:41:00Z</dcterms:created>
  <dcterms:modified xsi:type="dcterms:W3CDTF">2016-10-07T14:41:00Z</dcterms:modified>
</cp:coreProperties>
</file>