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680F" w14:textId="014FFE88" w:rsidR="004244A4" w:rsidRPr="007554E6" w:rsidRDefault="007554E6" w:rsidP="007554E6">
      <w:pPr>
        <w:pStyle w:val="NormalWeb"/>
        <w:bidi/>
        <w:spacing w:before="0" w:beforeAutospacing="0" w:after="0" w:afterAutospacing="0"/>
        <w:rPr>
          <w:rFonts w:ascii="Dubai" w:hAnsi="Dubai" w:cs="Dubai"/>
          <w:color w:val="000000"/>
          <w:sz w:val="20"/>
          <w:szCs w:val="20"/>
          <w:rtl/>
        </w:rPr>
      </w:pPr>
      <w:r w:rsidRPr="007554E6">
        <w:rPr>
          <w:rFonts w:ascii="Dubai" w:hAnsi="Dubai" w:cs="Dubai"/>
          <w:color w:val="000000"/>
          <w:sz w:val="20"/>
          <w:szCs w:val="20"/>
          <w:rtl/>
        </w:rPr>
        <w:t>13 أبريل 2023</w:t>
      </w:r>
    </w:p>
    <w:p w14:paraId="75549ABB" w14:textId="77777777" w:rsidR="007554E6" w:rsidRPr="007554E6" w:rsidRDefault="007554E6" w:rsidP="007554E6">
      <w:pPr>
        <w:pStyle w:val="NormalWeb"/>
        <w:bidi/>
        <w:spacing w:before="0" w:beforeAutospacing="0" w:after="0" w:afterAutospacing="0"/>
        <w:rPr>
          <w:rtl/>
        </w:rPr>
      </w:pPr>
    </w:p>
    <w:p w14:paraId="3AE82639" w14:textId="7CF934D9" w:rsidR="00B7340D" w:rsidRDefault="00B7340D" w:rsidP="004244A4">
      <w:pPr>
        <w:bidi/>
        <w:jc w:val="both"/>
        <w:rPr>
          <w:rFonts w:ascii="Dubai" w:eastAsiaTheme="minorEastAsia" w:hAnsi="Dubai" w:cs="Dubai"/>
          <w:b/>
          <w:bCs/>
          <w:color w:val="000000" w:themeColor="text1"/>
          <w:sz w:val="20"/>
          <w:szCs w:val="20"/>
          <w:u w:val="single"/>
        </w:rPr>
      </w:pPr>
      <w:r>
        <w:rPr>
          <w:rFonts w:ascii="Dubai" w:eastAsiaTheme="minorEastAsia" w:hAnsi="Dubai" w:cs="Dubai" w:hint="cs"/>
          <w:b/>
          <w:bCs/>
          <w:color w:val="000000" w:themeColor="text1"/>
          <w:sz w:val="20"/>
          <w:szCs w:val="20"/>
          <w:u w:val="single"/>
          <w:rtl/>
        </w:rPr>
        <w:t>مجلس حقوق الإنسان التابع للأمم المتحدة يحول دون تقدّم مسار العدالة في ليبيا</w:t>
      </w:r>
    </w:p>
    <w:p w14:paraId="1D62F642" w14:textId="7B53E128" w:rsidR="00B7340D" w:rsidRPr="00B7340D" w:rsidRDefault="00B7340D" w:rsidP="00B7340D">
      <w:pPr>
        <w:bidi/>
        <w:jc w:val="both"/>
        <w:rPr>
          <w:rFonts w:ascii="Dubai" w:eastAsiaTheme="minorEastAsia" w:hAnsi="Dubai" w:cs="Dubai"/>
          <w:b/>
          <w:bCs/>
          <w:color w:val="000000" w:themeColor="text1"/>
          <w:sz w:val="20"/>
          <w:szCs w:val="20"/>
          <w:u w:val="single"/>
          <w:rtl/>
          <w:lang w:val="en-US" w:bidi="ar-EG"/>
        </w:rPr>
      </w:pPr>
      <w:r>
        <w:rPr>
          <w:rFonts w:ascii="Dubai" w:eastAsiaTheme="minorEastAsia" w:hAnsi="Dubai" w:cs="Dubai" w:hint="cs"/>
          <w:b/>
          <w:bCs/>
          <w:color w:val="000000" w:themeColor="text1"/>
          <w:sz w:val="20"/>
          <w:szCs w:val="20"/>
          <w:u w:val="single"/>
          <w:rtl/>
          <w:lang w:bidi="ar-EG"/>
        </w:rPr>
        <w:t>"منظمات المجتمع المدني تعرب عن استيائها من قرار مجلس حقوق الإنسان غير الملائم بشأن ليبيا رغم الأوضاع المتأزّمة التي تشهدها البلاد"</w:t>
      </w:r>
    </w:p>
    <w:p w14:paraId="30EE5AD4" w14:textId="354D47F4" w:rsidR="00C97FEE" w:rsidRDefault="00C97FEE" w:rsidP="00D50C34">
      <w:pPr>
        <w:bidi/>
        <w:jc w:val="both"/>
        <w:rPr>
          <w:rFonts w:ascii="Dubai" w:eastAsiaTheme="minorEastAsia" w:hAnsi="Dubai" w:cs="Dubai"/>
          <w:color w:val="000000" w:themeColor="text1"/>
          <w:sz w:val="20"/>
          <w:szCs w:val="20"/>
          <w:rtl/>
          <w:lang w:bidi="ar-EG"/>
        </w:rPr>
      </w:pPr>
      <w:r>
        <w:rPr>
          <w:rFonts w:ascii="Dubai" w:eastAsiaTheme="minorEastAsia" w:hAnsi="Dubai" w:cs="Dubai" w:hint="cs"/>
          <w:color w:val="000000" w:themeColor="text1"/>
          <w:sz w:val="20"/>
          <w:szCs w:val="20"/>
          <w:rtl/>
          <w:lang w:bidi="ar-EG"/>
        </w:rPr>
        <w:t>في الرابع من أبريل،</w:t>
      </w:r>
      <w:r w:rsidR="00D50C34">
        <w:rPr>
          <w:rFonts w:ascii="Dubai" w:eastAsiaTheme="minorEastAsia" w:hAnsi="Dubai" w:cs="Dubai" w:hint="cs"/>
          <w:color w:val="000000" w:themeColor="text1"/>
          <w:sz w:val="20"/>
          <w:szCs w:val="20"/>
          <w:rtl/>
          <w:lang w:bidi="ar-EG"/>
        </w:rPr>
        <w:t xml:space="preserve"> اعتمد مجلس حقوق الإنسان التابع للأمم المتحدة القرار رقم </w:t>
      </w:r>
      <w:r w:rsidR="00D50C34" w:rsidRPr="00D50C34">
        <w:rPr>
          <w:rFonts w:ascii="Dubai" w:eastAsiaTheme="minorEastAsia" w:hAnsi="Dubai" w:cs="Dubai"/>
          <w:color w:val="000000" w:themeColor="text1"/>
          <w:sz w:val="20"/>
          <w:szCs w:val="20"/>
          <w:lang w:bidi="ar-EG"/>
        </w:rPr>
        <w:t>52/L.33</w:t>
      </w:r>
      <w:r w:rsidR="00D50C34">
        <w:rPr>
          <w:rFonts w:ascii="Dubai" w:eastAsiaTheme="minorEastAsia" w:hAnsi="Dubai" w:cs="Dubai" w:hint="cs"/>
          <w:color w:val="000000" w:themeColor="text1"/>
          <w:sz w:val="20"/>
          <w:szCs w:val="20"/>
          <w:rtl/>
          <w:lang w:bidi="ar-EG"/>
        </w:rPr>
        <w:t xml:space="preserve"> بشأن "المساعدة التقنية وبناء القدرات لتحسين أوضاع حقوق الإنسان في ليبيا" </w:t>
      </w:r>
      <w:r w:rsidR="00B7340D">
        <w:rPr>
          <w:rFonts w:ascii="Dubai" w:eastAsiaTheme="minorEastAsia" w:hAnsi="Dubai" w:cs="Dubai" w:hint="cs"/>
          <w:color w:val="000000" w:themeColor="text1"/>
          <w:sz w:val="20"/>
          <w:szCs w:val="20"/>
          <w:rtl/>
          <w:lang w:bidi="ar-EG"/>
        </w:rPr>
        <w:t xml:space="preserve">والذي لم </w:t>
      </w:r>
      <w:r w:rsidR="00D50C34">
        <w:rPr>
          <w:rFonts w:ascii="Dubai" w:eastAsiaTheme="minorEastAsia" w:hAnsi="Dubai" w:cs="Dubai" w:hint="cs"/>
          <w:color w:val="000000" w:themeColor="text1"/>
          <w:sz w:val="20"/>
          <w:szCs w:val="20"/>
          <w:rtl/>
          <w:lang w:bidi="ar-EG"/>
        </w:rPr>
        <w:t xml:space="preserve">ينصّ على إنشاء آلية لمتابعة عمل بعثة الأمم المتحدة المستقلة لتقصّي الحقائق. </w:t>
      </w:r>
      <w:r w:rsidR="00B7340D">
        <w:rPr>
          <w:rFonts w:ascii="Dubai" w:eastAsiaTheme="minorEastAsia" w:hAnsi="Dubai" w:cs="Dubai" w:hint="cs"/>
          <w:color w:val="000000" w:themeColor="text1"/>
          <w:sz w:val="20"/>
          <w:szCs w:val="20"/>
          <w:rtl/>
          <w:lang w:bidi="ar-EG"/>
        </w:rPr>
        <w:t>و</w:t>
      </w:r>
      <w:r w:rsidR="00D50C34">
        <w:rPr>
          <w:rFonts w:ascii="Dubai" w:eastAsiaTheme="minorEastAsia" w:hAnsi="Dubai" w:cs="Dubai" w:hint="cs"/>
          <w:color w:val="000000" w:themeColor="text1"/>
          <w:sz w:val="20"/>
          <w:szCs w:val="20"/>
          <w:rtl/>
          <w:lang w:bidi="ar-EG"/>
        </w:rPr>
        <w:t>تزامنت الجلسة الثانية والخمسون لمجلس حقوق الإنسان مع انتهاء ولاية البعثة المستقلة لتقصّي الحقائق في ليبيا.</w:t>
      </w:r>
    </w:p>
    <w:p w14:paraId="2143D786" w14:textId="7A2168CE" w:rsidR="00D50C34" w:rsidRPr="00C97FEE" w:rsidRDefault="00D50C34" w:rsidP="00D50C34">
      <w:pPr>
        <w:bidi/>
        <w:jc w:val="both"/>
        <w:rPr>
          <w:rFonts w:ascii="Dubai" w:eastAsiaTheme="minorEastAsia" w:hAnsi="Dubai" w:cs="Dubai"/>
          <w:color w:val="000000" w:themeColor="text1"/>
          <w:sz w:val="20"/>
          <w:szCs w:val="20"/>
          <w:rtl/>
          <w:lang w:bidi="ar-EG"/>
        </w:rPr>
      </w:pPr>
      <w:r>
        <w:rPr>
          <w:rFonts w:ascii="Dubai" w:eastAsiaTheme="minorEastAsia" w:hAnsi="Dubai" w:cs="Dubai" w:hint="cs"/>
          <w:color w:val="000000" w:themeColor="text1"/>
          <w:sz w:val="20"/>
          <w:szCs w:val="20"/>
          <w:rtl/>
          <w:lang w:bidi="ar-EG"/>
        </w:rPr>
        <w:t xml:space="preserve">وكانت البعثة المستقلة لتقصي الحقائق، في تقريرها الأخير </w:t>
      </w:r>
      <w:hyperlink r:id="rId8" w:history="1">
        <w:r w:rsidRPr="00DD0508">
          <w:rPr>
            <w:rStyle w:val="Hyperlink"/>
            <w:rFonts w:ascii="Dubai" w:eastAsiaTheme="minorEastAsia" w:hAnsi="Dubai" w:cs="Dubai" w:hint="cs"/>
            <w:sz w:val="20"/>
            <w:szCs w:val="20"/>
            <w:rtl/>
            <w:lang w:bidi="ar-EG"/>
          </w:rPr>
          <w:t>والختامي</w:t>
        </w:r>
      </w:hyperlink>
      <w:r>
        <w:rPr>
          <w:rFonts w:ascii="Dubai" w:eastAsiaTheme="minorEastAsia" w:hAnsi="Dubai" w:cs="Dubai" w:hint="cs"/>
          <w:color w:val="000000" w:themeColor="text1"/>
          <w:sz w:val="20"/>
          <w:szCs w:val="20"/>
          <w:rtl/>
          <w:lang w:bidi="ar-EG"/>
        </w:rPr>
        <w:t xml:space="preserve"> إلى مجلس حقوق الإنسان،</w:t>
      </w:r>
      <w:r w:rsidR="00DD0508">
        <w:rPr>
          <w:rFonts w:ascii="Dubai" w:eastAsiaTheme="minorEastAsia" w:hAnsi="Dubai" w:cs="Dubai" w:hint="cs"/>
          <w:color w:val="000000" w:themeColor="text1"/>
          <w:sz w:val="20"/>
          <w:szCs w:val="20"/>
          <w:rtl/>
          <w:lang w:bidi="ar-EG"/>
        </w:rPr>
        <w:t xml:space="preserve"> قد توصّلت إلى أسباب معقولة تدعو إلى الاعتقاد أنّ الجرائم بموجب القانون الدولي، بما في ذلك الجرائم المرتكبة ضدّ الإنسانية وجرائم الحرب، وغيرها من الانتهاكات الخطيرة لحقوق الإنسان، كانت ولا تزال ترتكب من قبل جميع الأطراف في ليبيا في ظلّ إفلات تامّ من العقاب. </w:t>
      </w:r>
      <w:r w:rsidR="00EB0435">
        <w:rPr>
          <w:rFonts w:ascii="Dubai" w:eastAsiaTheme="minorEastAsia" w:hAnsi="Dubai" w:cs="Dubai" w:hint="cs"/>
          <w:color w:val="000000" w:themeColor="text1"/>
          <w:sz w:val="20"/>
          <w:szCs w:val="20"/>
          <w:rtl/>
          <w:lang w:bidi="ar-EG"/>
        </w:rPr>
        <w:t>و</w:t>
      </w:r>
      <w:r w:rsidR="00DD0508">
        <w:rPr>
          <w:rFonts w:ascii="Dubai" w:eastAsiaTheme="minorEastAsia" w:hAnsi="Dubai" w:cs="Dubai" w:hint="cs"/>
          <w:color w:val="000000" w:themeColor="text1"/>
          <w:sz w:val="20"/>
          <w:szCs w:val="20"/>
          <w:rtl/>
          <w:lang w:bidi="ar-EG"/>
        </w:rPr>
        <w:t xml:space="preserve">أنّ </w:t>
      </w:r>
      <w:r w:rsidR="00FF43DB">
        <w:rPr>
          <w:rFonts w:ascii="Dubai" w:eastAsiaTheme="minorEastAsia" w:hAnsi="Dubai" w:cs="Dubai" w:hint="cs"/>
          <w:color w:val="000000" w:themeColor="text1"/>
          <w:sz w:val="20"/>
          <w:szCs w:val="20"/>
          <w:rtl/>
          <w:lang w:bidi="ar-EG"/>
        </w:rPr>
        <w:t>قرار</w:t>
      </w:r>
      <w:r w:rsidR="00DD0508">
        <w:rPr>
          <w:rFonts w:ascii="Dubai" w:eastAsiaTheme="minorEastAsia" w:hAnsi="Dubai" w:cs="Dubai" w:hint="cs"/>
          <w:color w:val="000000" w:themeColor="text1"/>
          <w:sz w:val="20"/>
          <w:szCs w:val="20"/>
          <w:rtl/>
          <w:lang w:bidi="ar-EG"/>
        </w:rPr>
        <w:t xml:space="preserve"> تجاهل استنتاجات البعثة وط</w:t>
      </w:r>
      <w:r w:rsidR="00686642">
        <w:rPr>
          <w:rFonts w:ascii="Dubai" w:eastAsiaTheme="minorEastAsia" w:hAnsi="Dubai" w:cs="Dubai" w:hint="cs"/>
          <w:color w:val="000000" w:themeColor="text1"/>
          <w:sz w:val="20"/>
          <w:szCs w:val="20"/>
          <w:rtl/>
          <w:lang w:bidi="ar-EG"/>
        </w:rPr>
        <w:t>لب</w:t>
      </w:r>
      <w:r w:rsidR="00DD0508">
        <w:rPr>
          <w:rFonts w:ascii="Dubai" w:eastAsiaTheme="minorEastAsia" w:hAnsi="Dubai" w:cs="Dubai" w:hint="cs"/>
          <w:color w:val="000000" w:themeColor="text1"/>
          <w:sz w:val="20"/>
          <w:szCs w:val="20"/>
          <w:rtl/>
          <w:lang w:bidi="ar-EG"/>
        </w:rPr>
        <w:t xml:space="preserve"> مفوضية الأمم المتحدة السامية لحقوق الإنسان فقط بتوفير المساعدة التقنية وبناء القدرات إلى السلطات الليبية.</w:t>
      </w:r>
    </w:p>
    <w:p w14:paraId="039DC70D" w14:textId="42D8B657" w:rsidR="00DD0508" w:rsidRDefault="00DD0508" w:rsidP="00DD0508">
      <w:pPr>
        <w:bidi/>
        <w:jc w:val="both"/>
        <w:rPr>
          <w:rFonts w:ascii="Dubai" w:eastAsiaTheme="minorEastAsia" w:hAnsi="Dubai" w:cs="Dubai"/>
          <w:color w:val="000000" w:themeColor="text1"/>
          <w:sz w:val="20"/>
          <w:szCs w:val="20"/>
          <w:rtl/>
        </w:rPr>
      </w:pPr>
      <w:r>
        <w:rPr>
          <w:rFonts w:ascii="Dubai" w:eastAsiaTheme="minorEastAsia" w:hAnsi="Dubai" w:cs="Dubai" w:hint="cs"/>
          <w:color w:val="000000" w:themeColor="text1"/>
          <w:sz w:val="20"/>
          <w:szCs w:val="20"/>
          <w:rtl/>
        </w:rPr>
        <w:t>ويأتي اعتماد القرار في خضمّ تصاعد حملات القمع على المنظمات والجمعيات المدنية المحلية والدولية والمدافعين عن حقوق الإنسان في ليبيا، والتي تشكّل خطراً شديداً على وجود الأغلبية الواسعة للمجتمع المدني العامل داخل البلاد. وكانت المنظمات الموقعة أدناه قد وثّقت عمليات استهداف المدافعين عن حقوق الإنسان من خلال أعمال الاعتقال والاحتجاز التعسّفية والمحاكمات غير العادلة</w:t>
      </w:r>
      <w:r w:rsidR="00E02DF8">
        <w:rPr>
          <w:rFonts w:ascii="Dubai" w:eastAsiaTheme="minorEastAsia" w:hAnsi="Dubai" w:cs="Dubai" w:hint="cs"/>
          <w:color w:val="000000" w:themeColor="text1"/>
          <w:sz w:val="20"/>
          <w:szCs w:val="20"/>
          <w:rtl/>
        </w:rPr>
        <w:t xml:space="preserve"> بحقهم</w:t>
      </w:r>
      <w:r>
        <w:rPr>
          <w:rFonts w:ascii="Dubai" w:eastAsiaTheme="minorEastAsia" w:hAnsi="Dubai" w:cs="Dubai" w:hint="cs"/>
          <w:color w:val="000000" w:themeColor="text1"/>
          <w:sz w:val="20"/>
          <w:szCs w:val="20"/>
          <w:rtl/>
        </w:rPr>
        <w:t xml:space="preserve">، والتي أدّى بعضها إلى عقوبات بالسجن لفترات طويلة. وكان رأي قانوني صدر في 8 مارس 2023 عن دائرة القانون في المجلس الأعلى للقضاء قد أثار سلسلةً من الأوامر التنفيذية التي أطلقها مكتب رئيس وزراء حكومة الوحدة الوطنية قضت بحلّ منظمات المجتمع لمدني ما لم تمتثل لقانون 2001 القمعي المعني بالمنظمات غير الحكومية بالرغم من </w:t>
      </w:r>
      <w:r w:rsidR="0065090F">
        <w:rPr>
          <w:rFonts w:ascii="Dubai" w:eastAsiaTheme="minorEastAsia" w:hAnsi="Dubai" w:cs="Dubai" w:hint="cs"/>
          <w:color w:val="000000" w:themeColor="text1"/>
          <w:sz w:val="20"/>
          <w:szCs w:val="20"/>
          <w:rtl/>
        </w:rPr>
        <w:t xml:space="preserve">تعليق سريانه فعلياً في العام 2011 مع اعتماد الدستور المؤقت. وبالرغم من </w:t>
      </w:r>
      <w:hyperlink r:id="rId9" w:history="1">
        <w:r w:rsidR="0065090F" w:rsidRPr="0065090F">
          <w:rPr>
            <w:rStyle w:val="Hyperlink"/>
            <w:rFonts w:ascii="Dubai" w:eastAsiaTheme="minorEastAsia" w:hAnsi="Dubai" w:cs="Dubai" w:hint="cs"/>
            <w:sz w:val="20"/>
            <w:szCs w:val="20"/>
            <w:rtl/>
          </w:rPr>
          <w:t>البيان الأخير</w:t>
        </w:r>
      </w:hyperlink>
      <w:r w:rsidR="0065090F">
        <w:rPr>
          <w:rFonts w:ascii="Dubai" w:eastAsiaTheme="minorEastAsia" w:hAnsi="Dubai" w:cs="Dubai" w:hint="cs"/>
          <w:color w:val="000000" w:themeColor="text1"/>
          <w:sz w:val="20"/>
          <w:szCs w:val="20"/>
          <w:rtl/>
        </w:rPr>
        <w:t xml:space="preserve"> لمجلس الأمن الذي يعيد التأكيد على أهمية إتاحة بيئة آمنة للمجتمع المدني في ليبيا، يبدو قرار مجلس حقوق الإنسان وكأنه يطلق يد السلطات والمجموعات التي تمارس سيطرةً بحكم الواقع على أجزاء من أراضي ليبيا لتضييق الخناق أكثر فأكثر على حرية التعبير، بما في ذلك الأصوات المستقلة والمعارضة.</w:t>
      </w:r>
    </w:p>
    <w:p w14:paraId="360438CC" w14:textId="3F0B7A72" w:rsidR="0065090F" w:rsidRPr="00C97FEE" w:rsidRDefault="0065090F" w:rsidP="0065090F">
      <w:pPr>
        <w:bidi/>
        <w:jc w:val="both"/>
        <w:rPr>
          <w:rFonts w:ascii="Dubai" w:eastAsiaTheme="minorEastAsia" w:hAnsi="Dubai" w:cs="Dubai"/>
          <w:color w:val="000000" w:themeColor="text1"/>
          <w:sz w:val="20"/>
          <w:szCs w:val="20"/>
        </w:rPr>
      </w:pPr>
      <w:r>
        <w:rPr>
          <w:rFonts w:ascii="Dubai" w:eastAsiaTheme="minorEastAsia" w:hAnsi="Dubai" w:cs="Dubai" w:hint="cs"/>
          <w:color w:val="000000" w:themeColor="text1"/>
          <w:sz w:val="20"/>
          <w:szCs w:val="20"/>
          <w:rtl/>
        </w:rPr>
        <w:t xml:space="preserve">وإن كان القرار يشدّد على المساعدة التقنية وبناء القدرات، إلاّ أنّه </w:t>
      </w:r>
      <w:r w:rsidR="00AF18C3">
        <w:rPr>
          <w:rFonts w:ascii="Dubai" w:eastAsiaTheme="minorEastAsia" w:hAnsi="Dubai" w:cs="Dubai" w:hint="cs"/>
          <w:color w:val="000000" w:themeColor="text1"/>
          <w:sz w:val="20"/>
          <w:szCs w:val="20"/>
          <w:rtl/>
          <w:lang w:bidi="ar-EG"/>
        </w:rPr>
        <w:t xml:space="preserve">لا يحدّد بوضوح معايير التدقيق للجهات المستفيدة من هذه المساعدة، بالرغم من العدد الهائل من المسؤولين ومن أعضاء الميليشيات والمجموعات المسلّحة العاملين في مؤسسات الدولة والذين لم يتمّ التدقيق في أهليتهم </w:t>
      </w:r>
      <w:r w:rsidR="00E02DF8">
        <w:rPr>
          <w:rFonts w:ascii="Dubai" w:eastAsiaTheme="minorEastAsia" w:hAnsi="Dubai" w:cs="Dubai" w:hint="cs"/>
          <w:color w:val="000000" w:themeColor="text1"/>
          <w:sz w:val="20"/>
          <w:szCs w:val="20"/>
          <w:rtl/>
          <w:lang w:bidi="ar-EG"/>
        </w:rPr>
        <w:t>وا</w:t>
      </w:r>
      <w:r w:rsidR="00AF18C3">
        <w:rPr>
          <w:rFonts w:ascii="Dubai" w:eastAsiaTheme="minorEastAsia" w:hAnsi="Dubai" w:cs="Dubai" w:hint="cs"/>
          <w:color w:val="000000" w:themeColor="text1"/>
          <w:sz w:val="20"/>
          <w:szCs w:val="20"/>
          <w:rtl/>
          <w:lang w:bidi="ar-EG"/>
        </w:rPr>
        <w:t>حتمال انخراطهم في جرائم خطيرة بموجب القانون الدولي وسائر</w:t>
      </w:r>
      <w:r w:rsidR="00E02DF8">
        <w:rPr>
          <w:rFonts w:ascii="Dubai" w:eastAsiaTheme="minorEastAsia" w:hAnsi="Dubai" w:cs="Dubai" w:hint="cs"/>
          <w:color w:val="000000" w:themeColor="text1"/>
          <w:sz w:val="20"/>
          <w:szCs w:val="20"/>
          <w:rtl/>
          <w:lang w:bidi="ar-EG"/>
        </w:rPr>
        <w:t xml:space="preserve"> التجاوزات وال</w:t>
      </w:r>
      <w:r w:rsidR="00AF18C3">
        <w:rPr>
          <w:rFonts w:ascii="Dubai" w:eastAsiaTheme="minorEastAsia" w:hAnsi="Dubai" w:cs="Dubai" w:hint="cs"/>
          <w:color w:val="000000" w:themeColor="text1"/>
          <w:sz w:val="20"/>
          <w:szCs w:val="20"/>
          <w:rtl/>
          <w:lang w:bidi="ar-EG"/>
        </w:rPr>
        <w:t xml:space="preserve">انتهاكات </w:t>
      </w:r>
      <w:r w:rsidR="00E02DF8">
        <w:rPr>
          <w:rFonts w:ascii="Dubai" w:eastAsiaTheme="minorEastAsia" w:hAnsi="Dubai" w:cs="Dubai" w:hint="cs"/>
          <w:color w:val="000000" w:themeColor="text1"/>
          <w:sz w:val="20"/>
          <w:szCs w:val="20"/>
          <w:rtl/>
          <w:lang w:bidi="ar-EG"/>
        </w:rPr>
        <w:t>الأخرى ل</w:t>
      </w:r>
      <w:r w:rsidR="00AF18C3">
        <w:rPr>
          <w:rFonts w:ascii="Dubai" w:eastAsiaTheme="minorEastAsia" w:hAnsi="Dubai" w:cs="Dubai" w:hint="cs"/>
          <w:color w:val="000000" w:themeColor="text1"/>
          <w:sz w:val="20"/>
          <w:szCs w:val="20"/>
          <w:rtl/>
          <w:lang w:bidi="ar-EG"/>
        </w:rPr>
        <w:t>حقوق الإنسان. وع</w:t>
      </w:r>
      <w:r w:rsidR="008F7B4E">
        <w:rPr>
          <w:rFonts w:ascii="Dubai" w:eastAsiaTheme="minorEastAsia" w:hAnsi="Dubai" w:cs="Dubai" w:hint="cs"/>
          <w:color w:val="000000" w:themeColor="text1"/>
          <w:sz w:val="20"/>
          <w:szCs w:val="20"/>
          <w:rtl/>
          <w:lang w:bidi="ar-EG"/>
        </w:rPr>
        <w:t xml:space="preserve">دم </w:t>
      </w:r>
      <w:r w:rsidR="00AF18C3">
        <w:rPr>
          <w:rFonts w:ascii="Dubai" w:eastAsiaTheme="minorEastAsia" w:hAnsi="Dubai" w:cs="Dubai" w:hint="cs"/>
          <w:color w:val="000000" w:themeColor="text1"/>
          <w:sz w:val="20"/>
          <w:szCs w:val="20"/>
          <w:rtl/>
          <w:lang w:bidi="ar-EG"/>
        </w:rPr>
        <w:t>كسر الحلقة المستمرّة للإفلات من العقاب، قد يسهم هذا الأمر في</w:t>
      </w:r>
      <w:r w:rsidR="006E0197">
        <w:rPr>
          <w:rFonts w:ascii="Dubai" w:eastAsiaTheme="minorEastAsia" w:hAnsi="Dubai" w:cs="Dubai" w:hint="cs"/>
          <w:color w:val="000000" w:themeColor="text1"/>
          <w:sz w:val="20"/>
          <w:szCs w:val="20"/>
          <w:rtl/>
          <w:lang w:bidi="ar-EG"/>
        </w:rPr>
        <w:t xml:space="preserve"> تأجي</w:t>
      </w:r>
      <w:r w:rsidR="00F57B6F">
        <w:rPr>
          <w:rFonts w:ascii="Dubai" w:eastAsiaTheme="minorEastAsia" w:hAnsi="Dubai" w:cs="Dubai" w:hint="cs"/>
          <w:color w:val="000000" w:themeColor="text1"/>
          <w:sz w:val="20"/>
          <w:szCs w:val="20"/>
          <w:rtl/>
          <w:lang w:bidi="ar-EG"/>
        </w:rPr>
        <w:t>لها</w:t>
      </w:r>
      <w:r w:rsidR="00AF18C3">
        <w:rPr>
          <w:rFonts w:ascii="Dubai" w:eastAsiaTheme="minorEastAsia" w:hAnsi="Dubai" w:cs="Dubai" w:hint="cs"/>
          <w:color w:val="000000" w:themeColor="text1"/>
          <w:sz w:val="20"/>
          <w:szCs w:val="20"/>
          <w:rtl/>
        </w:rPr>
        <w:t xml:space="preserve"> </w:t>
      </w:r>
    </w:p>
    <w:p w14:paraId="00708408" w14:textId="363E50E2" w:rsidR="00AF18C3" w:rsidRDefault="006E0197" w:rsidP="00AF18C3">
      <w:pPr>
        <w:bidi/>
        <w:jc w:val="both"/>
        <w:rPr>
          <w:rFonts w:ascii="Dubai" w:eastAsiaTheme="minorEastAsia" w:hAnsi="Dubai" w:cs="Dubai"/>
          <w:color w:val="000000" w:themeColor="text1"/>
          <w:sz w:val="20"/>
          <w:szCs w:val="20"/>
        </w:rPr>
      </w:pPr>
      <w:r>
        <w:rPr>
          <w:rFonts w:ascii="Dubai" w:eastAsiaTheme="minorEastAsia" w:hAnsi="Dubai" w:cs="Dubai" w:hint="cs"/>
          <w:color w:val="000000" w:themeColor="text1"/>
          <w:sz w:val="20"/>
          <w:szCs w:val="20"/>
          <w:rtl/>
        </w:rPr>
        <w:t xml:space="preserve">كما </w:t>
      </w:r>
      <w:r w:rsidR="00AF18C3">
        <w:rPr>
          <w:rFonts w:ascii="Dubai" w:eastAsiaTheme="minorEastAsia" w:hAnsi="Dubai" w:cs="Dubai" w:hint="cs"/>
          <w:color w:val="000000" w:themeColor="text1"/>
          <w:sz w:val="20"/>
          <w:szCs w:val="20"/>
          <w:rtl/>
        </w:rPr>
        <w:t xml:space="preserve">يلزم القرار السلطات الليبية بمراقبة تنفيذ الالتزامات الدولية لحقوق الإنسان وتوصيات البعثة المستقلة لتقصّي الحقائق، بالرغم من أنّ السلطات الليبية المتتالية قد أثبتت باستمرار على مرّ العقد الماضي أنها غير قادرة ولا راغبة </w:t>
      </w:r>
      <w:r>
        <w:rPr>
          <w:rFonts w:ascii="Dubai" w:eastAsiaTheme="minorEastAsia" w:hAnsi="Dubai" w:cs="Dubai" w:hint="cs"/>
          <w:color w:val="000000" w:themeColor="text1"/>
          <w:sz w:val="20"/>
          <w:szCs w:val="20"/>
          <w:rtl/>
        </w:rPr>
        <w:t xml:space="preserve">في قيادة تحقيقات ملائمة في تجاوزات وانتهاكات حقوق الإنسان، </w:t>
      </w:r>
      <w:r w:rsidRPr="006E0197">
        <w:rPr>
          <w:rFonts w:ascii="Dubai" w:eastAsiaTheme="minorEastAsia" w:hAnsi="Dubai" w:cs="Dubai"/>
          <w:color w:val="000000" w:themeColor="text1"/>
          <w:sz w:val="20"/>
          <w:szCs w:val="20"/>
          <w:rtl/>
        </w:rPr>
        <w:t>ناهيك عن توفير العدالة الموثوقة وإتاحة سبل الانتصاف وال</w:t>
      </w:r>
      <w:r>
        <w:rPr>
          <w:rFonts w:ascii="Dubai" w:eastAsiaTheme="minorEastAsia" w:hAnsi="Dubai" w:cs="Dubai" w:hint="cs"/>
          <w:color w:val="000000" w:themeColor="text1"/>
          <w:sz w:val="20"/>
          <w:szCs w:val="20"/>
          <w:rtl/>
        </w:rPr>
        <w:t>جبر</w:t>
      </w:r>
      <w:r w:rsidRPr="006E0197">
        <w:rPr>
          <w:rFonts w:ascii="Dubai" w:eastAsiaTheme="minorEastAsia" w:hAnsi="Dubai" w:cs="Dubai"/>
          <w:color w:val="000000" w:themeColor="text1"/>
          <w:sz w:val="20"/>
          <w:szCs w:val="20"/>
          <w:rtl/>
        </w:rPr>
        <w:t xml:space="preserve"> الفعالة للضحايا</w:t>
      </w:r>
      <w:r>
        <w:rPr>
          <w:rFonts w:ascii="Dubai" w:eastAsiaTheme="minorEastAsia" w:hAnsi="Dubai" w:cs="Dubai" w:hint="cs"/>
          <w:color w:val="000000" w:themeColor="text1"/>
          <w:sz w:val="20"/>
          <w:szCs w:val="20"/>
          <w:rtl/>
        </w:rPr>
        <w:t>. هذا وما زال على حكومة الوحدة الوطنية، ومقرّها في طرابلس، تطبيق التوصيات الصادرة في التقارير السابقة للبعثة المستقلة لتقصّي الحقائق، وسط تصارعها على الشرعية والسيطرة مع السلطات بحكم الواقع التي تحكم قبضتها على الأراضي الواقعة في جنوب البلاد</w:t>
      </w:r>
      <w:r w:rsidR="00E02DF8">
        <w:rPr>
          <w:rFonts w:ascii="Dubai" w:eastAsiaTheme="minorEastAsia" w:hAnsi="Dubai" w:cs="Dubai" w:hint="cs"/>
          <w:color w:val="000000" w:themeColor="text1"/>
          <w:sz w:val="20"/>
          <w:szCs w:val="20"/>
          <w:rtl/>
        </w:rPr>
        <w:t xml:space="preserve"> وشرقها</w:t>
      </w:r>
      <w:r>
        <w:rPr>
          <w:rFonts w:ascii="Dubai" w:eastAsiaTheme="minorEastAsia" w:hAnsi="Dubai" w:cs="Dubai" w:hint="cs"/>
          <w:color w:val="000000" w:themeColor="text1"/>
          <w:sz w:val="20"/>
          <w:szCs w:val="20"/>
          <w:rtl/>
        </w:rPr>
        <w:t xml:space="preserve">. وإذ تشيد المنظمات الموقعة </w:t>
      </w:r>
      <w:r w:rsidR="00030D0A">
        <w:rPr>
          <w:rFonts w:ascii="Dubai" w:eastAsiaTheme="minorEastAsia" w:hAnsi="Dubai" w:cs="Dubai" w:hint="cs"/>
          <w:color w:val="000000" w:themeColor="text1"/>
          <w:sz w:val="20"/>
          <w:szCs w:val="20"/>
          <w:rtl/>
          <w:lang w:bidi="ar-EG"/>
        </w:rPr>
        <w:t>ب</w:t>
      </w:r>
      <w:r>
        <w:rPr>
          <w:rFonts w:ascii="Dubai" w:eastAsiaTheme="minorEastAsia" w:hAnsi="Dubai" w:cs="Dubai" w:hint="cs"/>
          <w:color w:val="000000" w:themeColor="text1"/>
          <w:sz w:val="20"/>
          <w:szCs w:val="20"/>
          <w:rtl/>
        </w:rPr>
        <w:t xml:space="preserve">التزام السلطات الليبية في إنشاء لجنة </w:t>
      </w:r>
      <w:r w:rsidR="00663EFC">
        <w:rPr>
          <w:rFonts w:ascii="Dubai" w:eastAsiaTheme="minorEastAsia" w:hAnsi="Dubai" w:cs="Dubai" w:hint="cs"/>
          <w:color w:val="000000" w:themeColor="text1"/>
          <w:sz w:val="20"/>
          <w:szCs w:val="20"/>
          <w:rtl/>
        </w:rPr>
        <w:t xml:space="preserve">عليا لدراسة التقرير الختامي للبعثة المستقلة لتقصّي الحقائق وتوصياتها، فإنّها تشدّد أيضاً على أنّ إنشاء هذه اللجنة لا يمكن أن يشكّل بديلاً عن استيفاء الحاجة الملحّة للمراقبة والتوثيق المستقلين </w:t>
      </w:r>
      <w:r w:rsidR="00030D0A">
        <w:rPr>
          <w:rFonts w:ascii="Dubai" w:eastAsiaTheme="minorEastAsia" w:hAnsi="Dubai" w:cs="Dubai" w:hint="cs"/>
          <w:color w:val="000000" w:themeColor="text1"/>
          <w:sz w:val="20"/>
          <w:szCs w:val="20"/>
          <w:rtl/>
        </w:rPr>
        <w:t>وللإبلاغ العام</w:t>
      </w:r>
      <w:r w:rsidR="00663EFC">
        <w:rPr>
          <w:rFonts w:ascii="Dubai" w:eastAsiaTheme="minorEastAsia" w:hAnsi="Dubai" w:cs="Dubai" w:hint="cs"/>
          <w:color w:val="000000" w:themeColor="text1"/>
          <w:sz w:val="20"/>
          <w:szCs w:val="20"/>
          <w:rtl/>
        </w:rPr>
        <w:t xml:space="preserve"> عن حالة حقوق الإنسان في البلاد.</w:t>
      </w:r>
    </w:p>
    <w:p w14:paraId="16C5241C" w14:textId="2A7ECC1A" w:rsidR="00784310" w:rsidRPr="00C97FEE" w:rsidRDefault="00784310" w:rsidP="00784310">
      <w:pPr>
        <w:bidi/>
        <w:jc w:val="both"/>
        <w:rPr>
          <w:rFonts w:ascii="Dubai" w:eastAsiaTheme="minorEastAsia" w:hAnsi="Dubai" w:cs="Dubai"/>
          <w:color w:val="000000" w:themeColor="text1"/>
          <w:sz w:val="20"/>
          <w:szCs w:val="20"/>
          <w:rtl/>
          <w:lang w:bidi="ar-EG"/>
        </w:rPr>
      </w:pPr>
      <w:r>
        <w:rPr>
          <w:rFonts w:ascii="Dubai" w:eastAsiaTheme="minorEastAsia" w:hAnsi="Dubai" w:cs="Dubai" w:hint="cs"/>
          <w:color w:val="000000" w:themeColor="text1"/>
          <w:sz w:val="20"/>
          <w:szCs w:val="20"/>
          <w:rtl/>
          <w:lang w:bidi="ar-EG"/>
        </w:rPr>
        <w:t>على ضوء ما سبق ذكره، توصي المنظمات الموقعة بما يلي:</w:t>
      </w:r>
    </w:p>
    <w:p w14:paraId="196C7FCF" w14:textId="6CC01592" w:rsidR="00784310" w:rsidRPr="00784310" w:rsidRDefault="00E02DF8" w:rsidP="00784310">
      <w:pPr>
        <w:pStyle w:val="ListParagraph"/>
        <w:numPr>
          <w:ilvl w:val="0"/>
          <w:numId w:val="11"/>
        </w:numPr>
        <w:bidi/>
        <w:jc w:val="both"/>
        <w:rPr>
          <w:rFonts w:ascii="Dubai" w:hAnsi="Dubai" w:cs="Dubai"/>
          <w:sz w:val="20"/>
          <w:szCs w:val="20"/>
        </w:rPr>
      </w:pPr>
      <w:r>
        <w:rPr>
          <w:rFonts w:ascii="Dubai" w:hAnsi="Dubai" w:cs="Dubai" w:hint="cs"/>
          <w:sz w:val="20"/>
          <w:szCs w:val="20"/>
          <w:rtl/>
        </w:rPr>
        <w:lastRenderedPageBreak/>
        <w:t>ينبغي ل</w:t>
      </w:r>
      <w:r w:rsidR="00784310">
        <w:rPr>
          <w:rFonts w:ascii="Dubai" w:hAnsi="Dubai" w:cs="Dubai" w:hint="cs"/>
          <w:sz w:val="20"/>
          <w:szCs w:val="20"/>
          <w:rtl/>
        </w:rPr>
        <w:t>مجلس حقوق الإنسان، وبشكلٍ عاجلٍ، العمل على إنشاء</w:t>
      </w:r>
      <w:r>
        <w:rPr>
          <w:rFonts w:ascii="Dubai" w:hAnsi="Dubai" w:cs="Dubai" w:hint="cs"/>
          <w:sz w:val="20"/>
          <w:szCs w:val="20"/>
          <w:rtl/>
        </w:rPr>
        <w:t xml:space="preserve"> آلية</w:t>
      </w:r>
      <w:r w:rsidR="00784310">
        <w:rPr>
          <w:rFonts w:ascii="Dubai" w:hAnsi="Dubai" w:cs="Dubai" w:hint="cs"/>
          <w:sz w:val="20"/>
          <w:szCs w:val="20"/>
          <w:rtl/>
        </w:rPr>
        <w:t xml:space="preserve"> تحقيق دولية ومستقلة لضمان إجراء تحقيقات مستقلة وعمليات رصد وإبلاغ، والمحافظة على الأدلة في كلّ ما يت</w:t>
      </w:r>
      <w:r w:rsidR="00030D0A">
        <w:rPr>
          <w:rFonts w:ascii="Dubai" w:hAnsi="Dubai" w:cs="Dubai" w:hint="cs"/>
          <w:sz w:val="20"/>
          <w:szCs w:val="20"/>
          <w:rtl/>
        </w:rPr>
        <w:t>صل</w:t>
      </w:r>
      <w:r w:rsidR="00784310">
        <w:rPr>
          <w:rFonts w:ascii="Dubai" w:hAnsi="Dubai" w:cs="Dubai" w:hint="cs"/>
          <w:sz w:val="20"/>
          <w:szCs w:val="20"/>
          <w:rtl/>
        </w:rPr>
        <w:t xml:space="preserve"> بحالة حقوق الإنسان في ليبيا، تمهيداً لتحقيق المساءلة مستقبلاً و</w:t>
      </w:r>
      <w:r w:rsidR="00784310">
        <w:rPr>
          <w:rFonts w:ascii="Dubai" w:hAnsi="Dubai" w:cs="Dubai" w:hint="cs"/>
          <w:sz w:val="20"/>
          <w:szCs w:val="20"/>
          <w:rtl/>
          <w:lang w:val="en-US" w:bidi="ar-EG"/>
        </w:rPr>
        <w:t>إبقاء العا</w:t>
      </w:r>
      <w:r>
        <w:rPr>
          <w:rFonts w:ascii="Dubai" w:hAnsi="Dubai" w:cs="Dubai" w:hint="cs"/>
          <w:sz w:val="20"/>
          <w:szCs w:val="20"/>
          <w:rtl/>
          <w:lang w:val="en-US" w:bidi="ar-EG"/>
        </w:rPr>
        <w:t>لم</w:t>
      </w:r>
      <w:r w:rsidR="00784310">
        <w:rPr>
          <w:rFonts w:ascii="Dubai" w:hAnsi="Dubai" w:cs="Dubai" w:hint="cs"/>
          <w:sz w:val="20"/>
          <w:szCs w:val="20"/>
          <w:rtl/>
          <w:lang w:val="en-US" w:bidi="ar-EG"/>
        </w:rPr>
        <w:t xml:space="preserve"> على اطلاع بحالة حقوق الإنسان في ليبيا؛</w:t>
      </w:r>
    </w:p>
    <w:p w14:paraId="194BBB50" w14:textId="31FA5295" w:rsidR="00784310" w:rsidRDefault="00030D0A" w:rsidP="00784310">
      <w:pPr>
        <w:pStyle w:val="ListParagraph"/>
        <w:numPr>
          <w:ilvl w:val="0"/>
          <w:numId w:val="11"/>
        </w:numPr>
        <w:bidi/>
        <w:jc w:val="both"/>
        <w:rPr>
          <w:rFonts w:ascii="Dubai" w:hAnsi="Dubai" w:cs="Dubai"/>
          <w:sz w:val="20"/>
          <w:szCs w:val="20"/>
        </w:rPr>
      </w:pPr>
      <w:r>
        <w:rPr>
          <w:rFonts w:ascii="Dubai" w:hAnsi="Dubai" w:cs="Dubai" w:hint="cs"/>
          <w:sz w:val="20"/>
          <w:szCs w:val="20"/>
          <w:rtl/>
        </w:rPr>
        <w:t>ينبغي ل</w:t>
      </w:r>
      <w:r w:rsidR="00784310">
        <w:rPr>
          <w:rFonts w:ascii="Dubai" w:hAnsi="Dubai" w:cs="Dubai" w:hint="cs"/>
          <w:sz w:val="20"/>
          <w:szCs w:val="20"/>
          <w:rtl/>
        </w:rPr>
        <w:t>مفوضية الأمم المتحدة السامية لحقوق الإنسان، وبشكلٍ مستقل عن بعثة الأمم المتحدة للدعم في ليبيا، إنشاء آلية منفصلة ومستقلة تكون لها ولاية</w:t>
      </w:r>
      <w:r w:rsidR="00784310" w:rsidRPr="00784310">
        <w:rPr>
          <w:rFonts w:ascii="Dubai" w:hAnsi="Dubai" w:cs="Dubai"/>
          <w:sz w:val="20"/>
          <w:szCs w:val="20"/>
          <w:rtl/>
        </w:rPr>
        <w:t xml:space="preserve"> مستمر</w:t>
      </w:r>
      <w:r w:rsidR="00E02DF8">
        <w:rPr>
          <w:rFonts w:ascii="Dubai" w:hAnsi="Dubai" w:cs="Dubai" w:hint="cs"/>
          <w:sz w:val="20"/>
          <w:szCs w:val="20"/>
          <w:rtl/>
        </w:rPr>
        <w:t>ّ</w:t>
      </w:r>
      <w:r w:rsidR="00784310" w:rsidRPr="00784310">
        <w:rPr>
          <w:rFonts w:ascii="Dubai" w:hAnsi="Dubai" w:cs="Dubai"/>
          <w:sz w:val="20"/>
          <w:szCs w:val="20"/>
          <w:rtl/>
        </w:rPr>
        <w:t>ة لرصد الانتهاكات الجسيمة لحقوق الإنسان في ليبيا والإبلاغ عنها، بغية دعم السلطات الليبية في جهودها الرامية إلى تحقيق العدالة والمساءلة؛</w:t>
      </w:r>
    </w:p>
    <w:p w14:paraId="7768A062" w14:textId="1C1B1916" w:rsidR="00784310" w:rsidRDefault="00030D0A" w:rsidP="00784310">
      <w:pPr>
        <w:pStyle w:val="ListParagraph"/>
        <w:numPr>
          <w:ilvl w:val="0"/>
          <w:numId w:val="11"/>
        </w:numPr>
        <w:bidi/>
        <w:jc w:val="both"/>
        <w:rPr>
          <w:rFonts w:ascii="Dubai" w:hAnsi="Dubai" w:cs="Dubai"/>
          <w:sz w:val="20"/>
          <w:szCs w:val="20"/>
        </w:rPr>
      </w:pPr>
      <w:r>
        <w:rPr>
          <w:rFonts w:ascii="Dubai" w:hAnsi="Dubai" w:cs="Dubai" w:hint="cs"/>
          <w:sz w:val="20"/>
          <w:szCs w:val="20"/>
          <w:rtl/>
        </w:rPr>
        <w:t>وينبغي ل</w:t>
      </w:r>
      <w:r w:rsidR="00784310">
        <w:rPr>
          <w:rFonts w:ascii="Dubai" w:hAnsi="Dubai" w:cs="Dubai" w:hint="cs"/>
          <w:sz w:val="20"/>
          <w:szCs w:val="20"/>
          <w:rtl/>
        </w:rPr>
        <w:t xml:space="preserve">مفوضية الأمم المتحدة السامية لحقوق الإنسان إنشاء مستودع مركزي للمعلومات والأدلة، والعمل على </w:t>
      </w:r>
      <w:r w:rsidR="00EF7684">
        <w:rPr>
          <w:rFonts w:ascii="Dubai" w:hAnsi="Dubai" w:cs="Dubai" w:hint="cs"/>
          <w:sz w:val="20"/>
          <w:szCs w:val="20"/>
          <w:rtl/>
        </w:rPr>
        <w:t xml:space="preserve">توحيد وتحليل وتقييم </w:t>
      </w:r>
      <w:r w:rsidR="00784310">
        <w:rPr>
          <w:rFonts w:ascii="Dubai" w:hAnsi="Dubai" w:cs="Dubai" w:hint="cs"/>
          <w:sz w:val="20"/>
          <w:szCs w:val="20"/>
          <w:rtl/>
        </w:rPr>
        <w:t>المعلومات</w:t>
      </w:r>
      <w:r w:rsidR="00EF7684">
        <w:rPr>
          <w:rFonts w:ascii="Dubai" w:hAnsi="Dubai" w:cs="Dubai" w:hint="cs"/>
          <w:sz w:val="20"/>
          <w:szCs w:val="20"/>
          <w:rtl/>
        </w:rPr>
        <w:t xml:space="preserve"> والشهادات</w:t>
      </w:r>
      <w:r w:rsidR="00784310">
        <w:rPr>
          <w:rFonts w:ascii="Dubai" w:hAnsi="Dubai" w:cs="Dubai" w:hint="cs"/>
          <w:sz w:val="20"/>
          <w:szCs w:val="20"/>
          <w:rtl/>
        </w:rPr>
        <w:t xml:space="preserve"> </w:t>
      </w:r>
      <w:r w:rsidR="00EF7684">
        <w:rPr>
          <w:rFonts w:ascii="Dubai" w:hAnsi="Dubai" w:cs="Dubai" w:hint="cs"/>
          <w:sz w:val="20"/>
          <w:szCs w:val="20"/>
          <w:rtl/>
        </w:rPr>
        <w:t xml:space="preserve">كافة التي قامت بجمعها </w:t>
      </w:r>
      <w:r w:rsidR="00E02DF8">
        <w:rPr>
          <w:rFonts w:ascii="Dubai" w:hAnsi="Dubai" w:cs="Dubai" w:hint="cs"/>
          <w:sz w:val="20"/>
          <w:szCs w:val="20"/>
          <w:rtl/>
        </w:rPr>
        <w:t xml:space="preserve">كلّ من </w:t>
      </w:r>
      <w:r w:rsidR="00EF7684">
        <w:rPr>
          <w:rFonts w:ascii="Dubai" w:hAnsi="Dubai" w:cs="Dubai" w:hint="cs"/>
          <w:sz w:val="20"/>
          <w:szCs w:val="20"/>
          <w:rtl/>
        </w:rPr>
        <w:t>البعثة المستقلة لتقصّي الحقائق وآلية المفوضية المذكورة أعلاه، وتخزين هذه الأدلة بشكلٍ آمن، وإرفاقها بالتوثيق الواضح بغية تمهيد الطريق للإجراءات الجنائية المستقبلية ضدّ المشتبه بهم بارتكاب الجرائم بموجب القانون الدولي وتجاوزات وانتهاكات حقوق الإنسان الخطيرة الأخرى، بما في ذلك عن طريق تيسير الوصول إلى المعلومات، والأدلة، والتحليلات من قبل السلطات القضائية وهيئات التحقيق ذات الصلة؛</w:t>
      </w:r>
      <w:r w:rsidR="00784310">
        <w:rPr>
          <w:rFonts w:ascii="Dubai" w:hAnsi="Dubai" w:cs="Dubai" w:hint="cs"/>
          <w:sz w:val="20"/>
          <w:szCs w:val="20"/>
          <w:rtl/>
        </w:rPr>
        <w:t xml:space="preserve"> </w:t>
      </w:r>
    </w:p>
    <w:p w14:paraId="4DD19706" w14:textId="03C4305B" w:rsidR="00EF7684" w:rsidRPr="00EF7684" w:rsidRDefault="00EF7684" w:rsidP="00EF7684">
      <w:pPr>
        <w:pStyle w:val="ListParagraph"/>
        <w:numPr>
          <w:ilvl w:val="0"/>
          <w:numId w:val="11"/>
        </w:numPr>
        <w:bidi/>
        <w:jc w:val="both"/>
        <w:rPr>
          <w:rFonts w:ascii="Dubai" w:hAnsi="Dubai" w:cs="Dubai"/>
          <w:sz w:val="20"/>
          <w:szCs w:val="20"/>
        </w:rPr>
      </w:pPr>
      <w:r>
        <w:rPr>
          <w:rFonts w:ascii="Dubai" w:hAnsi="Dubai" w:cs="Dubai" w:hint="cs"/>
          <w:sz w:val="20"/>
          <w:szCs w:val="20"/>
          <w:rtl/>
        </w:rPr>
        <w:t xml:space="preserve">تماشياً مع </w:t>
      </w:r>
      <w:r w:rsidRPr="00EF7684">
        <w:rPr>
          <w:rFonts w:ascii="Dubai" w:hAnsi="Dubai" w:cs="Dubai"/>
          <w:sz w:val="20"/>
          <w:szCs w:val="20"/>
          <w:rtl/>
        </w:rPr>
        <w:t>سياسة بذل العناية الواجبة في مراعاة حقوق الإنسان</w:t>
      </w:r>
      <w:r w:rsidRPr="00EF7684">
        <w:rPr>
          <w:rFonts w:ascii="Arial" w:hAnsi="Arial" w:cs="Arial"/>
          <w:color w:val="4D5156"/>
          <w:sz w:val="21"/>
          <w:szCs w:val="21"/>
          <w:shd w:val="clear" w:color="auto" w:fill="FFFFFF"/>
          <w:rtl/>
        </w:rPr>
        <w:t xml:space="preserve"> </w:t>
      </w:r>
      <w:r w:rsidRPr="00EF7684">
        <w:rPr>
          <w:rFonts w:ascii="Dubai" w:hAnsi="Dubai" w:cs="Dubai"/>
          <w:sz w:val="20"/>
          <w:szCs w:val="20"/>
          <w:rtl/>
        </w:rPr>
        <w:t>عند تقديم دعم الأمم المتحدة إلى قوات أمنية غير تابعة للأمم</w:t>
      </w:r>
      <w:r>
        <w:rPr>
          <w:rFonts w:ascii="Dubai" w:hAnsi="Dubai" w:cs="Dubai" w:hint="cs"/>
          <w:sz w:val="20"/>
          <w:szCs w:val="20"/>
          <w:rtl/>
        </w:rPr>
        <w:t xml:space="preserve"> المتحدة، ينبغي لمفوضية الأمم المتحدة السامية لحقوق الإنسان وضع آلية تدقيق فعالة لضمان عدم تقديم المساعدة التقنية وبناء القدرات إلى الأفراد المشتبه فيهم بالضلوع في تجاوزات وانتهاكات حقوق الإنسان الخطيرة. وكجزءٍ من أنشطة بناء القدرات والمشاركة العامة مع السلطات الليبية، يجب أن ت</w:t>
      </w:r>
      <w:r w:rsidR="00E02DF8">
        <w:rPr>
          <w:rFonts w:ascii="Dubai" w:hAnsi="Dubai" w:cs="Dubai" w:hint="cs"/>
          <w:sz w:val="20"/>
          <w:szCs w:val="20"/>
          <w:rtl/>
        </w:rPr>
        <w:t>كفل</w:t>
      </w:r>
      <w:r>
        <w:rPr>
          <w:rFonts w:ascii="Dubai" w:hAnsi="Dubai" w:cs="Dubai" w:hint="cs"/>
          <w:sz w:val="20"/>
          <w:szCs w:val="20"/>
          <w:rtl/>
        </w:rPr>
        <w:t xml:space="preserve"> مفوضية الأمم المتحدة السامية لحقوق الإنسان برامج شاملة للجمعيات المدنية، و</w:t>
      </w:r>
      <w:r w:rsidR="00E02DF8">
        <w:rPr>
          <w:rFonts w:ascii="Dubai" w:hAnsi="Dubai" w:cs="Dubai" w:hint="cs"/>
          <w:sz w:val="20"/>
          <w:szCs w:val="20"/>
          <w:rtl/>
        </w:rPr>
        <w:t xml:space="preserve">تضمن </w:t>
      </w:r>
      <w:r>
        <w:rPr>
          <w:rFonts w:ascii="Dubai" w:hAnsi="Dubai" w:cs="Dubai" w:hint="cs"/>
          <w:sz w:val="20"/>
          <w:szCs w:val="20"/>
          <w:rtl/>
        </w:rPr>
        <w:t xml:space="preserve">حماية </w:t>
      </w:r>
      <w:r w:rsidR="00E02DF8">
        <w:rPr>
          <w:rFonts w:ascii="Dubai" w:hAnsi="Dubai" w:cs="Dubai" w:hint="cs"/>
          <w:sz w:val="20"/>
          <w:szCs w:val="20"/>
          <w:rtl/>
        </w:rPr>
        <w:t>العاملين</w:t>
      </w:r>
      <w:r>
        <w:rPr>
          <w:rFonts w:ascii="Dubai" w:hAnsi="Dubai" w:cs="Dubai" w:hint="cs"/>
          <w:sz w:val="20"/>
          <w:szCs w:val="20"/>
          <w:rtl/>
        </w:rPr>
        <w:t xml:space="preserve"> في المجتمع المدني في ليبيا </w:t>
      </w:r>
      <w:r w:rsidR="00E02DF8">
        <w:rPr>
          <w:rFonts w:ascii="Dubai" w:hAnsi="Dubai" w:cs="Dubai" w:hint="cs"/>
          <w:sz w:val="20"/>
          <w:szCs w:val="20"/>
          <w:rtl/>
        </w:rPr>
        <w:t>و</w:t>
      </w:r>
      <w:r>
        <w:rPr>
          <w:rFonts w:ascii="Dubai" w:hAnsi="Dubai" w:cs="Dubai" w:hint="cs"/>
          <w:sz w:val="20"/>
          <w:szCs w:val="20"/>
          <w:rtl/>
        </w:rPr>
        <w:t>قدرتهم على أداء مهامهم بحرية دون معيقات أو خوف من الأعمال الانتقامية.</w:t>
      </w:r>
    </w:p>
    <w:p w14:paraId="6B96A86D" w14:textId="3FA79CF3" w:rsidR="00557215" w:rsidRDefault="00EF7684" w:rsidP="00EF7684">
      <w:pPr>
        <w:pStyle w:val="NormalWeb"/>
        <w:bidi/>
        <w:rPr>
          <w:rFonts w:ascii="Dubai" w:eastAsiaTheme="minorEastAsia" w:hAnsi="Dubai" w:cs="Dubai"/>
          <w:b/>
          <w:bCs/>
          <w:color w:val="000000"/>
          <w:sz w:val="20"/>
          <w:szCs w:val="20"/>
          <w:rtl/>
        </w:rPr>
      </w:pPr>
      <w:r>
        <w:rPr>
          <w:rFonts w:ascii="Dubai" w:eastAsiaTheme="minorEastAsia" w:hAnsi="Dubai" w:cs="Dubai" w:hint="cs"/>
          <w:b/>
          <w:bCs/>
          <w:color w:val="000000"/>
          <w:sz w:val="20"/>
          <w:szCs w:val="20"/>
          <w:rtl/>
        </w:rPr>
        <w:t>المنظمات الموقعة</w:t>
      </w:r>
    </w:p>
    <w:p w14:paraId="7F8D6353" w14:textId="79D3B2CC" w:rsidR="009611AC" w:rsidRDefault="009611AC" w:rsidP="00EF7684">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رابطة النساء الدولية للسلام والحرية</w:t>
      </w:r>
    </w:p>
    <w:p w14:paraId="171FF6EB" w14:textId="2235A87C" w:rsidR="009611AC" w:rsidRDefault="009611AC" w:rsidP="009611AC">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الفدرالية الدولية لحقوق الإنسان</w:t>
      </w:r>
    </w:p>
    <w:p w14:paraId="60404D7D" w14:textId="49BB5C96" w:rsidR="009611AC" w:rsidRDefault="009611AC" w:rsidP="009611AC">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اللجنة الدولية للحقوقيين</w:t>
      </w:r>
    </w:p>
    <w:p w14:paraId="33DBC9EC" w14:textId="33ECF078" w:rsidR="009611AC" w:rsidRDefault="009611AC" w:rsidP="009611AC">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محامون من أجل العدالة في ليبيا</w:t>
      </w:r>
    </w:p>
    <w:p w14:paraId="0BE942F2" w14:textId="63341617" w:rsidR="00EF7684" w:rsidRPr="00EF7684" w:rsidRDefault="00EF7684" w:rsidP="009611AC">
      <w:pPr>
        <w:pStyle w:val="NormalWeb"/>
        <w:numPr>
          <w:ilvl w:val="0"/>
          <w:numId w:val="16"/>
        </w:numPr>
        <w:bidi/>
        <w:rPr>
          <w:rFonts w:ascii="Dubai" w:eastAsiaTheme="minorEastAsia" w:hAnsi="Dubai" w:cs="Dubai"/>
          <w:color w:val="000000"/>
          <w:sz w:val="20"/>
          <w:szCs w:val="20"/>
        </w:rPr>
      </w:pPr>
      <w:r w:rsidRPr="00EF7684">
        <w:rPr>
          <w:rFonts w:ascii="Dubai" w:eastAsiaTheme="minorEastAsia" w:hAnsi="Dubai" w:cs="Dubai" w:hint="cs"/>
          <w:color w:val="000000"/>
          <w:sz w:val="20"/>
          <w:szCs w:val="20"/>
          <w:rtl/>
        </w:rPr>
        <w:t>مركز القاهرة لدراسات حقوق الإنسان</w:t>
      </w:r>
    </w:p>
    <w:p w14:paraId="48640E10" w14:textId="2CB1FC70" w:rsidR="00EF7684" w:rsidRPr="00EF7684" w:rsidRDefault="00EF7684" w:rsidP="00EF7684">
      <w:pPr>
        <w:pStyle w:val="NormalWeb"/>
        <w:numPr>
          <w:ilvl w:val="0"/>
          <w:numId w:val="16"/>
        </w:numPr>
        <w:bidi/>
        <w:rPr>
          <w:rFonts w:ascii="Dubai" w:eastAsiaTheme="minorEastAsia" w:hAnsi="Dubai" w:cs="Dubai"/>
          <w:color w:val="000000"/>
          <w:sz w:val="20"/>
          <w:szCs w:val="20"/>
        </w:rPr>
      </w:pPr>
      <w:r w:rsidRPr="00EF7684">
        <w:rPr>
          <w:rFonts w:ascii="Dubai" w:eastAsiaTheme="minorEastAsia" w:hAnsi="Dubai" w:cs="Dubai" w:hint="cs"/>
          <w:color w:val="000000"/>
          <w:sz w:val="20"/>
          <w:szCs w:val="20"/>
          <w:rtl/>
        </w:rPr>
        <w:t>مركز مدافع لحقوق الإنسان</w:t>
      </w:r>
    </w:p>
    <w:p w14:paraId="755DF3FE" w14:textId="23D1EC8F" w:rsidR="00EF7684" w:rsidRDefault="00EF7684" w:rsidP="00EF7684">
      <w:pPr>
        <w:pStyle w:val="NormalWeb"/>
        <w:numPr>
          <w:ilvl w:val="0"/>
          <w:numId w:val="16"/>
        </w:numPr>
        <w:bidi/>
        <w:rPr>
          <w:rFonts w:ascii="Dubai" w:eastAsiaTheme="minorEastAsia" w:hAnsi="Dubai" w:cs="Dubai"/>
          <w:color w:val="000000"/>
          <w:sz w:val="20"/>
          <w:szCs w:val="20"/>
        </w:rPr>
      </w:pPr>
      <w:r w:rsidRPr="00EF7684">
        <w:rPr>
          <w:rFonts w:ascii="Dubai" w:eastAsiaTheme="minorEastAsia" w:hAnsi="Dubai" w:cs="Dubai" w:hint="cs"/>
          <w:color w:val="000000"/>
          <w:sz w:val="20"/>
          <w:szCs w:val="20"/>
          <w:rtl/>
        </w:rPr>
        <w:t>منظمة</w:t>
      </w:r>
      <w:r>
        <w:rPr>
          <w:rFonts w:ascii="Dubai" w:eastAsiaTheme="minorEastAsia" w:hAnsi="Dubai" w:cs="Dubai" w:hint="cs"/>
          <w:color w:val="000000"/>
          <w:sz w:val="20"/>
          <w:szCs w:val="20"/>
          <w:rtl/>
        </w:rPr>
        <w:t xml:space="preserve"> ديجنتي</w:t>
      </w:r>
    </w:p>
    <w:p w14:paraId="476CEFEF" w14:textId="0A9C77DB" w:rsidR="009611AC" w:rsidRDefault="009611AC" w:rsidP="009611AC">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منظمة رصد الجرائم الليبية</w:t>
      </w:r>
    </w:p>
    <w:p w14:paraId="2FAEC9DA" w14:textId="51902704" w:rsidR="009611AC" w:rsidRDefault="009611AC" w:rsidP="009611AC">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المنظمة العالمية لمناهضة التعذيب</w:t>
      </w:r>
    </w:p>
    <w:p w14:paraId="4DCDBB18" w14:textId="10CFAFEB" w:rsidR="009611AC" w:rsidRPr="009611AC" w:rsidRDefault="00EF7684" w:rsidP="009611AC">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منظمة</w:t>
      </w:r>
      <w:r w:rsidRPr="00EF7684">
        <w:rPr>
          <w:rFonts w:ascii="Dubai" w:eastAsiaTheme="minorEastAsia" w:hAnsi="Dubai" w:cs="Dubai" w:hint="cs"/>
          <w:color w:val="000000"/>
          <w:sz w:val="20"/>
          <w:szCs w:val="20"/>
          <w:rtl/>
        </w:rPr>
        <w:t xml:space="preserve"> العفو الدولية</w:t>
      </w:r>
    </w:p>
    <w:p w14:paraId="096DB91A" w14:textId="24E0E814" w:rsidR="009611AC" w:rsidRPr="00EF7684" w:rsidRDefault="009611AC" w:rsidP="009611AC">
      <w:pPr>
        <w:pStyle w:val="NormalWeb"/>
        <w:numPr>
          <w:ilvl w:val="0"/>
          <w:numId w:val="16"/>
        </w:numPr>
        <w:bidi/>
        <w:rPr>
          <w:rFonts w:ascii="Dubai" w:eastAsiaTheme="minorEastAsia" w:hAnsi="Dubai" w:cs="Dubai"/>
          <w:color w:val="000000"/>
          <w:sz w:val="20"/>
          <w:szCs w:val="20"/>
        </w:rPr>
      </w:pPr>
      <w:r>
        <w:rPr>
          <w:rFonts w:ascii="Dubai" w:eastAsiaTheme="minorEastAsia" w:hAnsi="Dubai" w:cs="Dubai" w:hint="cs"/>
          <w:color w:val="000000"/>
          <w:sz w:val="20"/>
          <w:szCs w:val="20"/>
          <w:rtl/>
        </w:rPr>
        <w:t>هيومن رايتس ووتش</w:t>
      </w:r>
    </w:p>
    <w:p w14:paraId="4760DCCA" w14:textId="77777777" w:rsidR="008C1330" w:rsidRPr="00C97FEE" w:rsidRDefault="008C1330" w:rsidP="008C1330">
      <w:pPr>
        <w:pStyle w:val="NoSpacing"/>
        <w:ind w:left="360"/>
        <w:rPr>
          <w:rFonts w:ascii="Dubai" w:eastAsiaTheme="minorEastAsia" w:hAnsi="Dubai" w:cs="Dubai"/>
          <w:color w:val="000000"/>
          <w:sz w:val="20"/>
          <w:szCs w:val="20"/>
          <w:lang w:val="en-US"/>
        </w:rPr>
      </w:pPr>
    </w:p>
    <w:sectPr w:rsidR="008C1330" w:rsidRPr="00C97FE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DDE8" w14:textId="77777777" w:rsidR="00FA5511" w:rsidRDefault="00FA5511" w:rsidP="00030F25">
      <w:pPr>
        <w:spacing w:after="0" w:line="240" w:lineRule="auto"/>
      </w:pPr>
      <w:r>
        <w:separator/>
      </w:r>
    </w:p>
  </w:endnote>
  <w:endnote w:type="continuationSeparator" w:id="0">
    <w:p w14:paraId="35415576" w14:textId="77777777" w:rsidR="00FA5511" w:rsidRDefault="00FA5511" w:rsidP="00030F25">
      <w:pPr>
        <w:spacing w:after="0" w:line="240" w:lineRule="auto"/>
      </w:pPr>
      <w:r>
        <w:continuationSeparator/>
      </w:r>
    </w:p>
  </w:endnote>
  <w:endnote w:type="continuationNotice" w:id="1">
    <w:p w14:paraId="75AFA896" w14:textId="77777777" w:rsidR="00FA5511" w:rsidRDefault="00FA5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BBC3B6" w14:paraId="547EA56E" w14:textId="77777777" w:rsidTr="5BBBC3B6">
      <w:trPr>
        <w:trHeight w:val="300"/>
      </w:trPr>
      <w:tc>
        <w:tcPr>
          <w:tcW w:w="3005" w:type="dxa"/>
        </w:tcPr>
        <w:p w14:paraId="100E07F2" w14:textId="3F5A75AD" w:rsidR="5BBBC3B6" w:rsidRDefault="5BBBC3B6" w:rsidP="5BBBC3B6">
          <w:pPr>
            <w:pStyle w:val="Header"/>
            <w:ind w:left="-115"/>
          </w:pPr>
        </w:p>
      </w:tc>
      <w:tc>
        <w:tcPr>
          <w:tcW w:w="3005" w:type="dxa"/>
        </w:tcPr>
        <w:p w14:paraId="5FCD6B5E" w14:textId="586CBB33" w:rsidR="5BBBC3B6" w:rsidRDefault="5BBBC3B6" w:rsidP="5BBBC3B6">
          <w:pPr>
            <w:pStyle w:val="Header"/>
            <w:jc w:val="center"/>
          </w:pPr>
        </w:p>
      </w:tc>
      <w:tc>
        <w:tcPr>
          <w:tcW w:w="3005" w:type="dxa"/>
        </w:tcPr>
        <w:p w14:paraId="49724450" w14:textId="686DA316" w:rsidR="5BBBC3B6" w:rsidRDefault="5BBBC3B6" w:rsidP="5BBBC3B6">
          <w:pPr>
            <w:pStyle w:val="Header"/>
            <w:ind w:right="-115"/>
            <w:jc w:val="right"/>
          </w:pPr>
        </w:p>
      </w:tc>
    </w:tr>
  </w:tbl>
  <w:p w14:paraId="40708C0E" w14:textId="3400B13E" w:rsidR="00030F25" w:rsidRDefault="00030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EE2B" w14:textId="77777777" w:rsidR="00FA5511" w:rsidRDefault="00FA5511" w:rsidP="00030F25">
      <w:pPr>
        <w:spacing w:after="0" w:line="240" w:lineRule="auto"/>
      </w:pPr>
      <w:r>
        <w:separator/>
      </w:r>
    </w:p>
  </w:footnote>
  <w:footnote w:type="continuationSeparator" w:id="0">
    <w:p w14:paraId="600A6689" w14:textId="77777777" w:rsidR="00FA5511" w:rsidRDefault="00FA5511" w:rsidP="00030F25">
      <w:pPr>
        <w:spacing w:after="0" w:line="240" w:lineRule="auto"/>
      </w:pPr>
      <w:r>
        <w:continuationSeparator/>
      </w:r>
    </w:p>
  </w:footnote>
  <w:footnote w:type="continuationNotice" w:id="1">
    <w:p w14:paraId="1A5EE2A1" w14:textId="77777777" w:rsidR="00FA5511" w:rsidRDefault="00FA5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BBBC3B6" w14:paraId="2DA3123F" w14:textId="77777777" w:rsidTr="5BBBC3B6">
      <w:trPr>
        <w:trHeight w:val="300"/>
      </w:trPr>
      <w:tc>
        <w:tcPr>
          <w:tcW w:w="3005" w:type="dxa"/>
        </w:tcPr>
        <w:p w14:paraId="37BEF35D" w14:textId="2A0A8214" w:rsidR="5BBBC3B6" w:rsidRDefault="5BBBC3B6" w:rsidP="5BBBC3B6">
          <w:pPr>
            <w:pStyle w:val="Header"/>
            <w:ind w:left="-115"/>
          </w:pPr>
        </w:p>
      </w:tc>
      <w:tc>
        <w:tcPr>
          <w:tcW w:w="3005" w:type="dxa"/>
        </w:tcPr>
        <w:p w14:paraId="2BB30089" w14:textId="58340C54" w:rsidR="5BBBC3B6" w:rsidRDefault="5BBBC3B6" w:rsidP="5BBBC3B6">
          <w:pPr>
            <w:pStyle w:val="Header"/>
            <w:jc w:val="center"/>
          </w:pPr>
        </w:p>
      </w:tc>
      <w:tc>
        <w:tcPr>
          <w:tcW w:w="3005" w:type="dxa"/>
        </w:tcPr>
        <w:p w14:paraId="02BC15C5" w14:textId="0510086F" w:rsidR="5BBBC3B6" w:rsidRDefault="5BBBC3B6" w:rsidP="5BBBC3B6">
          <w:pPr>
            <w:pStyle w:val="Header"/>
            <w:ind w:right="-115"/>
            <w:jc w:val="right"/>
          </w:pPr>
        </w:p>
      </w:tc>
    </w:tr>
  </w:tbl>
  <w:p w14:paraId="38035618" w14:textId="31BC45F4" w:rsidR="00030F25" w:rsidRDefault="00030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44AB"/>
    <w:multiLevelType w:val="hybridMultilevel"/>
    <w:tmpl w:val="FFFFFFFF"/>
    <w:lvl w:ilvl="0" w:tplc="3F946A66">
      <w:start w:val="3"/>
      <w:numFmt w:val="upperLetter"/>
      <w:lvlText w:val="%1."/>
      <w:lvlJc w:val="left"/>
      <w:pPr>
        <w:ind w:left="720" w:hanging="360"/>
      </w:pPr>
    </w:lvl>
    <w:lvl w:ilvl="1" w:tplc="61B8624A">
      <w:start w:val="1"/>
      <w:numFmt w:val="lowerLetter"/>
      <w:lvlText w:val="%2."/>
      <w:lvlJc w:val="left"/>
      <w:pPr>
        <w:ind w:left="1440" w:hanging="360"/>
      </w:pPr>
    </w:lvl>
    <w:lvl w:ilvl="2" w:tplc="326CDE0E">
      <w:start w:val="1"/>
      <w:numFmt w:val="lowerRoman"/>
      <w:lvlText w:val="%3."/>
      <w:lvlJc w:val="right"/>
      <w:pPr>
        <w:ind w:left="2160" w:hanging="180"/>
      </w:pPr>
    </w:lvl>
    <w:lvl w:ilvl="3" w:tplc="4BF8D194">
      <w:start w:val="1"/>
      <w:numFmt w:val="decimal"/>
      <w:lvlText w:val="%4."/>
      <w:lvlJc w:val="left"/>
      <w:pPr>
        <w:ind w:left="2880" w:hanging="360"/>
      </w:pPr>
    </w:lvl>
    <w:lvl w:ilvl="4" w:tplc="BA40AFC6">
      <w:start w:val="1"/>
      <w:numFmt w:val="lowerLetter"/>
      <w:lvlText w:val="%5."/>
      <w:lvlJc w:val="left"/>
      <w:pPr>
        <w:ind w:left="3600" w:hanging="360"/>
      </w:pPr>
    </w:lvl>
    <w:lvl w:ilvl="5" w:tplc="D338BC0C">
      <w:start w:val="1"/>
      <w:numFmt w:val="lowerRoman"/>
      <w:lvlText w:val="%6."/>
      <w:lvlJc w:val="right"/>
      <w:pPr>
        <w:ind w:left="4320" w:hanging="180"/>
      </w:pPr>
    </w:lvl>
    <w:lvl w:ilvl="6" w:tplc="B858AC42">
      <w:start w:val="1"/>
      <w:numFmt w:val="decimal"/>
      <w:lvlText w:val="%7."/>
      <w:lvlJc w:val="left"/>
      <w:pPr>
        <w:ind w:left="5040" w:hanging="360"/>
      </w:pPr>
    </w:lvl>
    <w:lvl w:ilvl="7" w:tplc="1068BC56">
      <w:start w:val="1"/>
      <w:numFmt w:val="lowerLetter"/>
      <w:lvlText w:val="%8."/>
      <w:lvlJc w:val="left"/>
      <w:pPr>
        <w:ind w:left="5760" w:hanging="360"/>
      </w:pPr>
    </w:lvl>
    <w:lvl w:ilvl="8" w:tplc="A852DA18">
      <w:start w:val="1"/>
      <w:numFmt w:val="lowerRoman"/>
      <w:lvlText w:val="%9."/>
      <w:lvlJc w:val="right"/>
      <w:pPr>
        <w:ind w:left="6480" w:hanging="180"/>
      </w:pPr>
    </w:lvl>
  </w:abstractNum>
  <w:abstractNum w:abstractNumId="1" w15:restartNumberingAfterBreak="0">
    <w:nsid w:val="03921E40"/>
    <w:multiLevelType w:val="hybridMultilevel"/>
    <w:tmpl w:val="56F0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A198"/>
    <w:multiLevelType w:val="hybridMultilevel"/>
    <w:tmpl w:val="FFFFFFFF"/>
    <w:lvl w:ilvl="0" w:tplc="D0143CE2">
      <w:start w:val="2"/>
      <w:numFmt w:val="upperLetter"/>
      <w:lvlText w:val="%1."/>
      <w:lvlJc w:val="left"/>
      <w:pPr>
        <w:ind w:left="720" w:hanging="360"/>
      </w:pPr>
    </w:lvl>
    <w:lvl w:ilvl="1" w:tplc="04FE07C6">
      <w:start w:val="1"/>
      <w:numFmt w:val="lowerLetter"/>
      <w:lvlText w:val="%2."/>
      <w:lvlJc w:val="left"/>
      <w:pPr>
        <w:ind w:left="1440" w:hanging="360"/>
      </w:pPr>
    </w:lvl>
    <w:lvl w:ilvl="2" w:tplc="82E04944">
      <w:start w:val="1"/>
      <w:numFmt w:val="lowerRoman"/>
      <w:lvlText w:val="%3."/>
      <w:lvlJc w:val="right"/>
      <w:pPr>
        <w:ind w:left="2160" w:hanging="180"/>
      </w:pPr>
    </w:lvl>
    <w:lvl w:ilvl="3" w:tplc="3EA4906C">
      <w:start w:val="1"/>
      <w:numFmt w:val="decimal"/>
      <w:lvlText w:val="%4."/>
      <w:lvlJc w:val="left"/>
      <w:pPr>
        <w:ind w:left="2880" w:hanging="360"/>
      </w:pPr>
    </w:lvl>
    <w:lvl w:ilvl="4" w:tplc="E95AA416">
      <w:start w:val="1"/>
      <w:numFmt w:val="lowerLetter"/>
      <w:lvlText w:val="%5."/>
      <w:lvlJc w:val="left"/>
      <w:pPr>
        <w:ind w:left="3600" w:hanging="360"/>
      </w:pPr>
    </w:lvl>
    <w:lvl w:ilvl="5" w:tplc="73AC001E">
      <w:start w:val="1"/>
      <w:numFmt w:val="lowerRoman"/>
      <w:lvlText w:val="%6."/>
      <w:lvlJc w:val="right"/>
      <w:pPr>
        <w:ind w:left="4320" w:hanging="180"/>
      </w:pPr>
    </w:lvl>
    <w:lvl w:ilvl="6" w:tplc="F0C67C02">
      <w:start w:val="1"/>
      <w:numFmt w:val="decimal"/>
      <w:lvlText w:val="%7."/>
      <w:lvlJc w:val="left"/>
      <w:pPr>
        <w:ind w:left="5040" w:hanging="360"/>
      </w:pPr>
    </w:lvl>
    <w:lvl w:ilvl="7" w:tplc="D30020BC">
      <w:start w:val="1"/>
      <w:numFmt w:val="lowerLetter"/>
      <w:lvlText w:val="%8."/>
      <w:lvlJc w:val="left"/>
      <w:pPr>
        <w:ind w:left="5760" w:hanging="360"/>
      </w:pPr>
    </w:lvl>
    <w:lvl w:ilvl="8" w:tplc="536EFD62">
      <w:start w:val="1"/>
      <w:numFmt w:val="lowerRoman"/>
      <w:lvlText w:val="%9."/>
      <w:lvlJc w:val="right"/>
      <w:pPr>
        <w:ind w:left="6480" w:hanging="180"/>
      </w:pPr>
    </w:lvl>
  </w:abstractNum>
  <w:abstractNum w:abstractNumId="3" w15:restartNumberingAfterBreak="0">
    <w:nsid w:val="0D064DA4"/>
    <w:multiLevelType w:val="hybridMultilevel"/>
    <w:tmpl w:val="60669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971C0"/>
    <w:multiLevelType w:val="hybridMultilevel"/>
    <w:tmpl w:val="678A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30182"/>
    <w:multiLevelType w:val="hybridMultilevel"/>
    <w:tmpl w:val="13E481D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2B681D"/>
    <w:multiLevelType w:val="hybridMultilevel"/>
    <w:tmpl w:val="C8B6A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E5268"/>
    <w:multiLevelType w:val="hybridMultilevel"/>
    <w:tmpl w:val="690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1651B"/>
    <w:multiLevelType w:val="hybridMultilevel"/>
    <w:tmpl w:val="E1B2F8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FF7080"/>
    <w:multiLevelType w:val="hybridMultilevel"/>
    <w:tmpl w:val="13262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C4CEC"/>
    <w:multiLevelType w:val="hybridMultilevel"/>
    <w:tmpl w:val="8984F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C2ABB"/>
    <w:multiLevelType w:val="hybridMultilevel"/>
    <w:tmpl w:val="3EC0C6D6"/>
    <w:lvl w:ilvl="0" w:tplc="0809000F">
      <w:start w:val="1"/>
      <w:numFmt w:val="decimal"/>
      <w:lvlText w:val="%1."/>
      <w:lvlJc w:val="left"/>
      <w:pPr>
        <w:ind w:left="720" w:hanging="360"/>
      </w:pPr>
    </w:lvl>
    <w:lvl w:ilvl="1" w:tplc="43EE7E32">
      <w:start w:val="1"/>
      <w:numFmt w:val="lowerLetter"/>
      <w:lvlText w:val="%2."/>
      <w:lvlJc w:val="left"/>
      <w:pPr>
        <w:ind w:left="1440" w:hanging="360"/>
      </w:pPr>
    </w:lvl>
    <w:lvl w:ilvl="2" w:tplc="EB526C80">
      <w:start w:val="1"/>
      <w:numFmt w:val="lowerRoman"/>
      <w:lvlText w:val="%3."/>
      <w:lvlJc w:val="right"/>
      <w:pPr>
        <w:ind w:left="2160" w:hanging="180"/>
      </w:pPr>
    </w:lvl>
    <w:lvl w:ilvl="3" w:tplc="D44E4EDA">
      <w:start w:val="1"/>
      <w:numFmt w:val="decimal"/>
      <w:lvlText w:val="%4."/>
      <w:lvlJc w:val="left"/>
      <w:pPr>
        <w:ind w:left="2880" w:hanging="360"/>
      </w:pPr>
    </w:lvl>
    <w:lvl w:ilvl="4" w:tplc="5B1E0DF8">
      <w:start w:val="1"/>
      <w:numFmt w:val="lowerLetter"/>
      <w:lvlText w:val="%5."/>
      <w:lvlJc w:val="left"/>
      <w:pPr>
        <w:ind w:left="3600" w:hanging="360"/>
      </w:pPr>
    </w:lvl>
    <w:lvl w:ilvl="5" w:tplc="5386A7A2">
      <w:start w:val="1"/>
      <w:numFmt w:val="lowerRoman"/>
      <w:lvlText w:val="%6."/>
      <w:lvlJc w:val="right"/>
      <w:pPr>
        <w:ind w:left="4320" w:hanging="180"/>
      </w:pPr>
    </w:lvl>
    <w:lvl w:ilvl="6" w:tplc="9114229A">
      <w:start w:val="1"/>
      <w:numFmt w:val="decimal"/>
      <w:lvlText w:val="%7."/>
      <w:lvlJc w:val="left"/>
      <w:pPr>
        <w:ind w:left="5040" w:hanging="360"/>
      </w:pPr>
    </w:lvl>
    <w:lvl w:ilvl="7" w:tplc="B1766F8A">
      <w:start w:val="1"/>
      <w:numFmt w:val="lowerLetter"/>
      <w:lvlText w:val="%8."/>
      <w:lvlJc w:val="left"/>
      <w:pPr>
        <w:ind w:left="5760" w:hanging="360"/>
      </w:pPr>
    </w:lvl>
    <w:lvl w:ilvl="8" w:tplc="59488756">
      <w:start w:val="1"/>
      <w:numFmt w:val="lowerRoman"/>
      <w:lvlText w:val="%9."/>
      <w:lvlJc w:val="right"/>
      <w:pPr>
        <w:ind w:left="6480" w:hanging="180"/>
      </w:pPr>
    </w:lvl>
  </w:abstractNum>
  <w:abstractNum w:abstractNumId="12" w15:restartNumberingAfterBreak="0">
    <w:nsid w:val="697A3748"/>
    <w:multiLevelType w:val="hybridMultilevel"/>
    <w:tmpl w:val="1DF2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E3715"/>
    <w:multiLevelType w:val="hybridMultilevel"/>
    <w:tmpl w:val="47FE4394"/>
    <w:lvl w:ilvl="0" w:tplc="F55EA4E4">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0C5A06"/>
    <w:multiLevelType w:val="hybridMultilevel"/>
    <w:tmpl w:val="7A06A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51B97"/>
    <w:multiLevelType w:val="hybridMultilevel"/>
    <w:tmpl w:val="13262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4864993">
    <w:abstractNumId w:val="4"/>
  </w:num>
  <w:num w:numId="2" w16cid:durableId="1070032402">
    <w:abstractNumId w:val="8"/>
  </w:num>
  <w:num w:numId="3" w16cid:durableId="1944334544">
    <w:abstractNumId w:val="5"/>
  </w:num>
  <w:num w:numId="4" w16cid:durableId="1434669973">
    <w:abstractNumId w:val="0"/>
  </w:num>
  <w:num w:numId="5" w16cid:durableId="1210413215">
    <w:abstractNumId w:val="2"/>
  </w:num>
  <w:num w:numId="6" w16cid:durableId="1387753743">
    <w:abstractNumId w:val="11"/>
  </w:num>
  <w:num w:numId="7" w16cid:durableId="852767660">
    <w:abstractNumId w:val="14"/>
  </w:num>
  <w:num w:numId="8" w16cid:durableId="177352126">
    <w:abstractNumId w:val="6"/>
  </w:num>
  <w:num w:numId="9" w16cid:durableId="774137365">
    <w:abstractNumId w:val="9"/>
  </w:num>
  <w:num w:numId="10" w16cid:durableId="1674139251">
    <w:abstractNumId w:val="3"/>
  </w:num>
  <w:num w:numId="11" w16cid:durableId="1852530896">
    <w:abstractNumId w:val="10"/>
  </w:num>
  <w:num w:numId="12" w16cid:durableId="2104841233">
    <w:abstractNumId w:val="15"/>
  </w:num>
  <w:num w:numId="13" w16cid:durableId="295375170">
    <w:abstractNumId w:val="13"/>
  </w:num>
  <w:num w:numId="14" w16cid:durableId="1123691643">
    <w:abstractNumId w:val="7"/>
  </w:num>
  <w:num w:numId="15" w16cid:durableId="1197039009">
    <w:abstractNumId w:val="1"/>
  </w:num>
  <w:num w:numId="16" w16cid:durableId="1667589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69"/>
    <w:rsid w:val="000036F3"/>
    <w:rsid w:val="00005E2D"/>
    <w:rsid w:val="00007D5A"/>
    <w:rsid w:val="0001074C"/>
    <w:rsid w:val="00010BD8"/>
    <w:rsid w:val="0001453E"/>
    <w:rsid w:val="00017F9C"/>
    <w:rsid w:val="000274F3"/>
    <w:rsid w:val="00027E82"/>
    <w:rsid w:val="0003008C"/>
    <w:rsid w:val="00030D0A"/>
    <w:rsid w:val="00030F25"/>
    <w:rsid w:val="0003178F"/>
    <w:rsid w:val="0003205F"/>
    <w:rsid w:val="00034B08"/>
    <w:rsid w:val="00036074"/>
    <w:rsid w:val="0005014F"/>
    <w:rsid w:val="000537D1"/>
    <w:rsid w:val="00053975"/>
    <w:rsid w:val="000540FD"/>
    <w:rsid w:val="00054143"/>
    <w:rsid w:val="0005448E"/>
    <w:rsid w:val="00054666"/>
    <w:rsid w:val="00055AD6"/>
    <w:rsid w:val="00055D92"/>
    <w:rsid w:val="00055E5C"/>
    <w:rsid w:val="00057AB0"/>
    <w:rsid w:val="000629FE"/>
    <w:rsid w:val="00070DC0"/>
    <w:rsid w:val="000729BC"/>
    <w:rsid w:val="00080FC2"/>
    <w:rsid w:val="00084E04"/>
    <w:rsid w:val="00084EA0"/>
    <w:rsid w:val="0008739B"/>
    <w:rsid w:val="00087585"/>
    <w:rsid w:val="000A499A"/>
    <w:rsid w:val="000B0CAC"/>
    <w:rsid w:val="000B430D"/>
    <w:rsid w:val="000B4DE4"/>
    <w:rsid w:val="000C1335"/>
    <w:rsid w:val="000C5271"/>
    <w:rsid w:val="000C53BD"/>
    <w:rsid w:val="000C75A5"/>
    <w:rsid w:val="000D3D87"/>
    <w:rsid w:val="000D42EB"/>
    <w:rsid w:val="000D6490"/>
    <w:rsid w:val="000D7BEF"/>
    <w:rsid w:val="000E0D08"/>
    <w:rsid w:val="000E2B81"/>
    <w:rsid w:val="000E3640"/>
    <w:rsid w:val="000F070D"/>
    <w:rsid w:val="000F22C0"/>
    <w:rsid w:val="000F493F"/>
    <w:rsid w:val="000F65F7"/>
    <w:rsid w:val="00100DFB"/>
    <w:rsid w:val="00104753"/>
    <w:rsid w:val="00104BC8"/>
    <w:rsid w:val="0011399F"/>
    <w:rsid w:val="00115F70"/>
    <w:rsid w:val="001220EE"/>
    <w:rsid w:val="0013437C"/>
    <w:rsid w:val="00137DF3"/>
    <w:rsid w:val="00141433"/>
    <w:rsid w:val="00154234"/>
    <w:rsid w:val="001562F1"/>
    <w:rsid w:val="001600D6"/>
    <w:rsid w:val="0016115B"/>
    <w:rsid w:val="001665D4"/>
    <w:rsid w:val="00174193"/>
    <w:rsid w:val="00184F6A"/>
    <w:rsid w:val="001904AC"/>
    <w:rsid w:val="00194AC9"/>
    <w:rsid w:val="001977C0"/>
    <w:rsid w:val="001A2D69"/>
    <w:rsid w:val="001A4E86"/>
    <w:rsid w:val="001A5336"/>
    <w:rsid w:val="001B1EAB"/>
    <w:rsid w:val="001B5FE3"/>
    <w:rsid w:val="001C2186"/>
    <w:rsid w:val="001C3DFB"/>
    <w:rsid w:val="001C4A4C"/>
    <w:rsid w:val="001C4C78"/>
    <w:rsid w:val="001D1201"/>
    <w:rsid w:val="001D4E1D"/>
    <w:rsid w:val="001D5D26"/>
    <w:rsid w:val="001D5F56"/>
    <w:rsid w:val="001D66C4"/>
    <w:rsid w:val="001D74B5"/>
    <w:rsid w:val="001E0A29"/>
    <w:rsid w:val="0020006F"/>
    <w:rsid w:val="00203DC9"/>
    <w:rsid w:val="00207EB8"/>
    <w:rsid w:val="00207FC0"/>
    <w:rsid w:val="00210B79"/>
    <w:rsid w:val="002114C1"/>
    <w:rsid w:val="00211ECD"/>
    <w:rsid w:val="00213112"/>
    <w:rsid w:val="0021654D"/>
    <w:rsid w:val="00223966"/>
    <w:rsid w:val="00233030"/>
    <w:rsid w:val="00237FA7"/>
    <w:rsid w:val="0024594C"/>
    <w:rsid w:val="00245D7A"/>
    <w:rsid w:val="00262D48"/>
    <w:rsid w:val="002658C5"/>
    <w:rsid w:val="00265A0E"/>
    <w:rsid w:val="00274F2B"/>
    <w:rsid w:val="00277015"/>
    <w:rsid w:val="00280311"/>
    <w:rsid w:val="00281D54"/>
    <w:rsid w:val="00290477"/>
    <w:rsid w:val="002A0EAD"/>
    <w:rsid w:val="002A48D2"/>
    <w:rsid w:val="002A559C"/>
    <w:rsid w:val="002A7BAA"/>
    <w:rsid w:val="002B3489"/>
    <w:rsid w:val="002B469E"/>
    <w:rsid w:val="002B740B"/>
    <w:rsid w:val="002B7FBA"/>
    <w:rsid w:val="002C3BEC"/>
    <w:rsid w:val="002C4D96"/>
    <w:rsid w:val="002C6B37"/>
    <w:rsid w:val="002C76AB"/>
    <w:rsid w:val="002D18AA"/>
    <w:rsid w:val="002D4100"/>
    <w:rsid w:val="002E1D25"/>
    <w:rsid w:val="002E3989"/>
    <w:rsid w:val="002E5FE0"/>
    <w:rsid w:val="002E62AA"/>
    <w:rsid w:val="002F1656"/>
    <w:rsid w:val="002F4EBA"/>
    <w:rsid w:val="00311AEE"/>
    <w:rsid w:val="00312D82"/>
    <w:rsid w:val="003138F6"/>
    <w:rsid w:val="0031412C"/>
    <w:rsid w:val="003144C5"/>
    <w:rsid w:val="00314C1E"/>
    <w:rsid w:val="00314DA8"/>
    <w:rsid w:val="00325722"/>
    <w:rsid w:val="00327C11"/>
    <w:rsid w:val="00330888"/>
    <w:rsid w:val="00330A62"/>
    <w:rsid w:val="00345265"/>
    <w:rsid w:val="00346129"/>
    <w:rsid w:val="00347A3F"/>
    <w:rsid w:val="00350D8D"/>
    <w:rsid w:val="003523E2"/>
    <w:rsid w:val="0035469F"/>
    <w:rsid w:val="0035566B"/>
    <w:rsid w:val="003569F1"/>
    <w:rsid w:val="003601EF"/>
    <w:rsid w:val="003636A4"/>
    <w:rsid w:val="0037077A"/>
    <w:rsid w:val="0037528A"/>
    <w:rsid w:val="00376DE7"/>
    <w:rsid w:val="003776BF"/>
    <w:rsid w:val="00394694"/>
    <w:rsid w:val="00395C0C"/>
    <w:rsid w:val="003B1138"/>
    <w:rsid w:val="003B203A"/>
    <w:rsid w:val="003B2EC2"/>
    <w:rsid w:val="003C2FB4"/>
    <w:rsid w:val="003D016F"/>
    <w:rsid w:val="003D0909"/>
    <w:rsid w:val="003D1A39"/>
    <w:rsid w:val="003D486D"/>
    <w:rsid w:val="003D4981"/>
    <w:rsid w:val="003D5173"/>
    <w:rsid w:val="003D60B8"/>
    <w:rsid w:val="003E0589"/>
    <w:rsid w:val="003E61D5"/>
    <w:rsid w:val="003E6230"/>
    <w:rsid w:val="003E7855"/>
    <w:rsid w:val="003F0B28"/>
    <w:rsid w:val="003F4640"/>
    <w:rsid w:val="003F667E"/>
    <w:rsid w:val="003F6838"/>
    <w:rsid w:val="003F6B2E"/>
    <w:rsid w:val="004021F1"/>
    <w:rsid w:val="00402269"/>
    <w:rsid w:val="00402E25"/>
    <w:rsid w:val="00404495"/>
    <w:rsid w:val="00410387"/>
    <w:rsid w:val="00410E34"/>
    <w:rsid w:val="004120B7"/>
    <w:rsid w:val="00414306"/>
    <w:rsid w:val="004164B7"/>
    <w:rsid w:val="004209FC"/>
    <w:rsid w:val="00421E41"/>
    <w:rsid w:val="004244A4"/>
    <w:rsid w:val="004276CC"/>
    <w:rsid w:val="00431D4E"/>
    <w:rsid w:val="00433E16"/>
    <w:rsid w:val="00436AB6"/>
    <w:rsid w:val="00437D63"/>
    <w:rsid w:val="00440381"/>
    <w:rsid w:val="00446DF5"/>
    <w:rsid w:val="0044707B"/>
    <w:rsid w:val="00464E21"/>
    <w:rsid w:val="004715D7"/>
    <w:rsid w:val="004722C0"/>
    <w:rsid w:val="004751DC"/>
    <w:rsid w:val="00480197"/>
    <w:rsid w:val="00480693"/>
    <w:rsid w:val="00486394"/>
    <w:rsid w:val="00487EFB"/>
    <w:rsid w:val="004A135A"/>
    <w:rsid w:val="004A136B"/>
    <w:rsid w:val="004A24D4"/>
    <w:rsid w:val="004A38FD"/>
    <w:rsid w:val="004B1502"/>
    <w:rsid w:val="004B1504"/>
    <w:rsid w:val="004B26BC"/>
    <w:rsid w:val="004B49EF"/>
    <w:rsid w:val="004B54D7"/>
    <w:rsid w:val="004B5D5A"/>
    <w:rsid w:val="004C2A61"/>
    <w:rsid w:val="004C7F55"/>
    <w:rsid w:val="004D4A35"/>
    <w:rsid w:val="004D5FBF"/>
    <w:rsid w:val="004E0858"/>
    <w:rsid w:val="004E155F"/>
    <w:rsid w:val="004E3FFA"/>
    <w:rsid w:val="004E57DC"/>
    <w:rsid w:val="004E6C2B"/>
    <w:rsid w:val="004F11C0"/>
    <w:rsid w:val="004F226A"/>
    <w:rsid w:val="004F31F0"/>
    <w:rsid w:val="004F6590"/>
    <w:rsid w:val="00500CBD"/>
    <w:rsid w:val="005013DD"/>
    <w:rsid w:val="0050249F"/>
    <w:rsid w:val="0050271A"/>
    <w:rsid w:val="00503A1D"/>
    <w:rsid w:val="00503D37"/>
    <w:rsid w:val="005073E1"/>
    <w:rsid w:val="00507EA0"/>
    <w:rsid w:val="005144A4"/>
    <w:rsid w:val="00515539"/>
    <w:rsid w:val="005167E4"/>
    <w:rsid w:val="005209EF"/>
    <w:rsid w:val="00521CD0"/>
    <w:rsid w:val="00523308"/>
    <w:rsid w:val="00525AC4"/>
    <w:rsid w:val="0053026C"/>
    <w:rsid w:val="005312C1"/>
    <w:rsid w:val="005314B0"/>
    <w:rsid w:val="00535910"/>
    <w:rsid w:val="00535C87"/>
    <w:rsid w:val="0053672D"/>
    <w:rsid w:val="00537C1C"/>
    <w:rsid w:val="005407C6"/>
    <w:rsid w:val="005408B2"/>
    <w:rsid w:val="00542D13"/>
    <w:rsid w:val="005433F6"/>
    <w:rsid w:val="00546F4B"/>
    <w:rsid w:val="00550BCA"/>
    <w:rsid w:val="005541D3"/>
    <w:rsid w:val="00557215"/>
    <w:rsid w:val="005613E4"/>
    <w:rsid w:val="005614B9"/>
    <w:rsid w:val="005629DC"/>
    <w:rsid w:val="005637BA"/>
    <w:rsid w:val="00563882"/>
    <w:rsid w:val="005638C7"/>
    <w:rsid w:val="0057020A"/>
    <w:rsid w:val="00571A4A"/>
    <w:rsid w:val="0057383D"/>
    <w:rsid w:val="00573ED7"/>
    <w:rsid w:val="00574723"/>
    <w:rsid w:val="00577191"/>
    <w:rsid w:val="00580331"/>
    <w:rsid w:val="005833F6"/>
    <w:rsid w:val="005924F0"/>
    <w:rsid w:val="00592BD7"/>
    <w:rsid w:val="00595572"/>
    <w:rsid w:val="005A1B33"/>
    <w:rsid w:val="005A7FBA"/>
    <w:rsid w:val="005B4262"/>
    <w:rsid w:val="005B42EF"/>
    <w:rsid w:val="005B46EC"/>
    <w:rsid w:val="005C2AD3"/>
    <w:rsid w:val="005C47B3"/>
    <w:rsid w:val="005C5462"/>
    <w:rsid w:val="005D08AB"/>
    <w:rsid w:val="005D25B1"/>
    <w:rsid w:val="005D3209"/>
    <w:rsid w:val="005D484D"/>
    <w:rsid w:val="005D5746"/>
    <w:rsid w:val="005D5F01"/>
    <w:rsid w:val="005E123E"/>
    <w:rsid w:val="005E6D3B"/>
    <w:rsid w:val="005F06AD"/>
    <w:rsid w:val="005F7613"/>
    <w:rsid w:val="00600A4E"/>
    <w:rsid w:val="00600C64"/>
    <w:rsid w:val="00606FF8"/>
    <w:rsid w:val="006137FF"/>
    <w:rsid w:val="00620688"/>
    <w:rsid w:val="00624352"/>
    <w:rsid w:val="006359FE"/>
    <w:rsid w:val="00635BD0"/>
    <w:rsid w:val="00636E0B"/>
    <w:rsid w:val="00637EB9"/>
    <w:rsid w:val="00642123"/>
    <w:rsid w:val="00642CF0"/>
    <w:rsid w:val="006436DF"/>
    <w:rsid w:val="0065090F"/>
    <w:rsid w:val="0065258A"/>
    <w:rsid w:val="006528F2"/>
    <w:rsid w:val="006552F4"/>
    <w:rsid w:val="00663EFC"/>
    <w:rsid w:val="00665F22"/>
    <w:rsid w:val="00666CCC"/>
    <w:rsid w:val="0067258A"/>
    <w:rsid w:val="006740CA"/>
    <w:rsid w:val="006748F2"/>
    <w:rsid w:val="006809AF"/>
    <w:rsid w:val="00681596"/>
    <w:rsid w:val="00685DF8"/>
    <w:rsid w:val="00686642"/>
    <w:rsid w:val="00690027"/>
    <w:rsid w:val="00691C58"/>
    <w:rsid w:val="0069666E"/>
    <w:rsid w:val="00697273"/>
    <w:rsid w:val="006A4D04"/>
    <w:rsid w:val="006A51A4"/>
    <w:rsid w:val="006B16A6"/>
    <w:rsid w:val="006B45E9"/>
    <w:rsid w:val="006B5B2A"/>
    <w:rsid w:val="006C1355"/>
    <w:rsid w:val="006C37A3"/>
    <w:rsid w:val="006C6A7E"/>
    <w:rsid w:val="006D0EB9"/>
    <w:rsid w:val="006D12F3"/>
    <w:rsid w:val="006D1362"/>
    <w:rsid w:val="006D2D96"/>
    <w:rsid w:val="006D695D"/>
    <w:rsid w:val="006E0197"/>
    <w:rsid w:val="006E31EC"/>
    <w:rsid w:val="006F6B5A"/>
    <w:rsid w:val="0070119E"/>
    <w:rsid w:val="00704F30"/>
    <w:rsid w:val="00705A1C"/>
    <w:rsid w:val="007066E3"/>
    <w:rsid w:val="00707074"/>
    <w:rsid w:val="00707D49"/>
    <w:rsid w:val="00710927"/>
    <w:rsid w:val="00710E13"/>
    <w:rsid w:val="007172E5"/>
    <w:rsid w:val="0072405F"/>
    <w:rsid w:val="007253C5"/>
    <w:rsid w:val="00726FFA"/>
    <w:rsid w:val="00737887"/>
    <w:rsid w:val="0074077F"/>
    <w:rsid w:val="007413F5"/>
    <w:rsid w:val="00741849"/>
    <w:rsid w:val="007433C4"/>
    <w:rsid w:val="00747383"/>
    <w:rsid w:val="00753D03"/>
    <w:rsid w:val="007554E6"/>
    <w:rsid w:val="00762138"/>
    <w:rsid w:val="007674E2"/>
    <w:rsid w:val="00774D9E"/>
    <w:rsid w:val="007809E5"/>
    <w:rsid w:val="00784310"/>
    <w:rsid w:val="00785825"/>
    <w:rsid w:val="007873B1"/>
    <w:rsid w:val="007876B8"/>
    <w:rsid w:val="00790B9E"/>
    <w:rsid w:val="007939F4"/>
    <w:rsid w:val="00796C4D"/>
    <w:rsid w:val="00797A2F"/>
    <w:rsid w:val="007B297E"/>
    <w:rsid w:val="007C2C14"/>
    <w:rsid w:val="007C3394"/>
    <w:rsid w:val="007C50A0"/>
    <w:rsid w:val="007D1140"/>
    <w:rsid w:val="007E0C87"/>
    <w:rsid w:val="007E2EE9"/>
    <w:rsid w:val="007E3258"/>
    <w:rsid w:val="007E364B"/>
    <w:rsid w:val="007E38E9"/>
    <w:rsid w:val="007E556B"/>
    <w:rsid w:val="007F12B5"/>
    <w:rsid w:val="007F1B3E"/>
    <w:rsid w:val="0080242E"/>
    <w:rsid w:val="0080779C"/>
    <w:rsid w:val="00807D9C"/>
    <w:rsid w:val="008107D1"/>
    <w:rsid w:val="00811435"/>
    <w:rsid w:val="008114AC"/>
    <w:rsid w:val="00816744"/>
    <w:rsid w:val="00821EBE"/>
    <w:rsid w:val="00822B83"/>
    <w:rsid w:val="00823EEF"/>
    <w:rsid w:val="00824ECB"/>
    <w:rsid w:val="008329F4"/>
    <w:rsid w:val="00836CBF"/>
    <w:rsid w:val="00841724"/>
    <w:rsid w:val="0086134E"/>
    <w:rsid w:val="008625F0"/>
    <w:rsid w:val="008659BF"/>
    <w:rsid w:val="00874E4F"/>
    <w:rsid w:val="008753B6"/>
    <w:rsid w:val="008776FA"/>
    <w:rsid w:val="008804E4"/>
    <w:rsid w:val="0088075C"/>
    <w:rsid w:val="008905E3"/>
    <w:rsid w:val="0089075B"/>
    <w:rsid w:val="008920C6"/>
    <w:rsid w:val="0089349A"/>
    <w:rsid w:val="00893D85"/>
    <w:rsid w:val="0089590B"/>
    <w:rsid w:val="008972E6"/>
    <w:rsid w:val="008972FC"/>
    <w:rsid w:val="008A11E3"/>
    <w:rsid w:val="008A25FC"/>
    <w:rsid w:val="008A5D22"/>
    <w:rsid w:val="008A5D6F"/>
    <w:rsid w:val="008A6FEF"/>
    <w:rsid w:val="008B03D4"/>
    <w:rsid w:val="008B4068"/>
    <w:rsid w:val="008B782B"/>
    <w:rsid w:val="008C1330"/>
    <w:rsid w:val="008C2401"/>
    <w:rsid w:val="008C3A99"/>
    <w:rsid w:val="008C42CA"/>
    <w:rsid w:val="008D32AC"/>
    <w:rsid w:val="008D5D0E"/>
    <w:rsid w:val="008D60DB"/>
    <w:rsid w:val="008E31D0"/>
    <w:rsid w:val="008E48AA"/>
    <w:rsid w:val="008E5DB6"/>
    <w:rsid w:val="008F2E07"/>
    <w:rsid w:val="008F7B4E"/>
    <w:rsid w:val="009046FD"/>
    <w:rsid w:val="00906EC7"/>
    <w:rsid w:val="00907263"/>
    <w:rsid w:val="00907BA5"/>
    <w:rsid w:val="00912E11"/>
    <w:rsid w:val="009208FC"/>
    <w:rsid w:val="0092497C"/>
    <w:rsid w:val="009269E5"/>
    <w:rsid w:val="00930A6A"/>
    <w:rsid w:val="009346F6"/>
    <w:rsid w:val="0093515D"/>
    <w:rsid w:val="00935167"/>
    <w:rsid w:val="00943685"/>
    <w:rsid w:val="00945818"/>
    <w:rsid w:val="00945F79"/>
    <w:rsid w:val="00950B35"/>
    <w:rsid w:val="0095181F"/>
    <w:rsid w:val="0095385E"/>
    <w:rsid w:val="00954EB3"/>
    <w:rsid w:val="00955048"/>
    <w:rsid w:val="00960623"/>
    <w:rsid w:val="009611AC"/>
    <w:rsid w:val="0096277B"/>
    <w:rsid w:val="0096547E"/>
    <w:rsid w:val="009659A5"/>
    <w:rsid w:val="00966391"/>
    <w:rsid w:val="009718BC"/>
    <w:rsid w:val="009750D7"/>
    <w:rsid w:val="00977361"/>
    <w:rsid w:val="0098136E"/>
    <w:rsid w:val="00984F60"/>
    <w:rsid w:val="00990106"/>
    <w:rsid w:val="00990741"/>
    <w:rsid w:val="00992F40"/>
    <w:rsid w:val="00997437"/>
    <w:rsid w:val="00997D4F"/>
    <w:rsid w:val="009A3841"/>
    <w:rsid w:val="009A4542"/>
    <w:rsid w:val="009A73D2"/>
    <w:rsid w:val="009A74E1"/>
    <w:rsid w:val="009B0B29"/>
    <w:rsid w:val="009B235B"/>
    <w:rsid w:val="009B2995"/>
    <w:rsid w:val="009B4505"/>
    <w:rsid w:val="009B68B5"/>
    <w:rsid w:val="009C0658"/>
    <w:rsid w:val="009C0BD1"/>
    <w:rsid w:val="009C2844"/>
    <w:rsid w:val="009C7672"/>
    <w:rsid w:val="009D2B95"/>
    <w:rsid w:val="009D489F"/>
    <w:rsid w:val="009D5CA9"/>
    <w:rsid w:val="009D71F3"/>
    <w:rsid w:val="009D7F82"/>
    <w:rsid w:val="009E09A2"/>
    <w:rsid w:val="009E117B"/>
    <w:rsid w:val="009E1DA5"/>
    <w:rsid w:val="009E279D"/>
    <w:rsid w:val="009E3F61"/>
    <w:rsid w:val="009E40A1"/>
    <w:rsid w:val="009E47B7"/>
    <w:rsid w:val="009E4F95"/>
    <w:rsid w:val="009E6C54"/>
    <w:rsid w:val="009F65C0"/>
    <w:rsid w:val="00A03DF2"/>
    <w:rsid w:val="00A07166"/>
    <w:rsid w:val="00A14EE3"/>
    <w:rsid w:val="00A24C35"/>
    <w:rsid w:val="00A255F3"/>
    <w:rsid w:val="00A32831"/>
    <w:rsid w:val="00A34229"/>
    <w:rsid w:val="00A34342"/>
    <w:rsid w:val="00A37A87"/>
    <w:rsid w:val="00A413BE"/>
    <w:rsid w:val="00A416D2"/>
    <w:rsid w:val="00A54992"/>
    <w:rsid w:val="00A55432"/>
    <w:rsid w:val="00A60775"/>
    <w:rsid w:val="00A632E8"/>
    <w:rsid w:val="00A64CFD"/>
    <w:rsid w:val="00A65913"/>
    <w:rsid w:val="00A65A01"/>
    <w:rsid w:val="00A6625C"/>
    <w:rsid w:val="00A665EA"/>
    <w:rsid w:val="00A709CE"/>
    <w:rsid w:val="00A710BD"/>
    <w:rsid w:val="00A7400E"/>
    <w:rsid w:val="00A76768"/>
    <w:rsid w:val="00A86401"/>
    <w:rsid w:val="00A87CA3"/>
    <w:rsid w:val="00A92049"/>
    <w:rsid w:val="00A9317B"/>
    <w:rsid w:val="00A94656"/>
    <w:rsid w:val="00AB05AB"/>
    <w:rsid w:val="00AB2055"/>
    <w:rsid w:val="00AB2262"/>
    <w:rsid w:val="00AB39EC"/>
    <w:rsid w:val="00AB4E10"/>
    <w:rsid w:val="00AB5341"/>
    <w:rsid w:val="00AC6FF1"/>
    <w:rsid w:val="00AD3D7D"/>
    <w:rsid w:val="00AD72BA"/>
    <w:rsid w:val="00AE1840"/>
    <w:rsid w:val="00AE68F1"/>
    <w:rsid w:val="00AF18C3"/>
    <w:rsid w:val="00AF5A88"/>
    <w:rsid w:val="00AF637A"/>
    <w:rsid w:val="00B02040"/>
    <w:rsid w:val="00B0258E"/>
    <w:rsid w:val="00B06A28"/>
    <w:rsid w:val="00B06FAD"/>
    <w:rsid w:val="00B109EB"/>
    <w:rsid w:val="00B12DC6"/>
    <w:rsid w:val="00B2156F"/>
    <w:rsid w:val="00B25F5B"/>
    <w:rsid w:val="00B306B0"/>
    <w:rsid w:val="00B3105C"/>
    <w:rsid w:val="00B343AA"/>
    <w:rsid w:val="00B40415"/>
    <w:rsid w:val="00B40891"/>
    <w:rsid w:val="00B42EF5"/>
    <w:rsid w:val="00B435D9"/>
    <w:rsid w:val="00B45F76"/>
    <w:rsid w:val="00B47A2A"/>
    <w:rsid w:val="00B54522"/>
    <w:rsid w:val="00B54FEC"/>
    <w:rsid w:val="00B55596"/>
    <w:rsid w:val="00B62ED6"/>
    <w:rsid w:val="00B66346"/>
    <w:rsid w:val="00B7340D"/>
    <w:rsid w:val="00B74E5B"/>
    <w:rsid w:val="00B7710A"/>
    <w:rsid w:val="00B83EA0"/>
    <w:rsid w:val="00B840EB"/>
    <w:rsid w:val="00B87B77"/>
    <w:rsid w:val="00B90521"/>
    <w:rsid w:val="00B92A38"/>
    <w:rsid w:val="00B93376"/>
    <w:rsid w:val="00B93FFB"/>
    <w:rsid w:val="00B97F50"/>
    <w:rsid w:val="00BA05C6"/>
    <w:rsid w:val="00BA1A8A"/>
    <w:rsid w:val="00BC09FA"/>
    <w:rsid w:val="00BC0EB8"/>
    <w:rsid w:val="00BC361D"/>
    <w:rsid w:val="00BC60A9"/>
    <w:rsid w:val="00BC6586"/>
    <w:rsid w:val="00BC7B31"/>
    <w:rsid w:val="00BC7DF5"/>
    <w:rsid w:val="00BD10F5"/>
    <w:rsid w:val="00BD218A"/>
    <w:rsid w:val="00BD23B1"/>
    <w:rsid w:val="00BD3746"/>
    <w:rsid w:val="00BD394A"/>
    <w:rsid w:val="00BD4EC6"/>
    <w:rsid w:val="00BD735E"/>
    <w:rsid w:val="00BD751C"/>
    <w:rsid w:val="00BD7CA6"/>
    <w:rsid w:val="00BE0744"/>
    <w:rsid w:val="00BF5734"/>
    <w:rsid w:val="00C01842"/>
    <w:rsid w:val="00C033E7"/>
    <w:rsid w:val="00C03499"/>
    <w:rsid w:val="00C03C6A"/>
    <w:rsid w:val="00C1013C"/>
    <w:rsid w:val="00C11BAC"/>
    <w:rsid w:val="00C1264E"/>
    <w:rsid w:val="00C1300B"/>
    <w:rsid w:val="00C14D98"/>
    <w:rsid w:val="00C169CB"/>
    <w:rsid w:val="00C17DFA"/>
    <w:rsid w:val="00C20524"/>
    <w:rsid w:val="00C21D2B"/>
    <w:rsid w:val="00C220CC"/>
    <w:rsid w:val="00C2523A"/>
    <w:rsid w:val="00C277BB"/>
    <w:rsid w:val="00C30B6A"/>
    <w:rsid w:val="00C30B90"/>
    <w:rsid w:val="00C318CA"/>
    <w:rsid w:val="00C32200"/>
    <w:rsid w:val="00C40D59"/>
    <w:rsid w:val="00C44717"/>
    <w:rsid w:val="00C44BEA"/>
    <w:rsid w:val="00C45363"/>
    <w:rsid w:val="00C46725"/>
    <w:rsid w:val="00C50070"/>
    <w:rsid w:val="00C504DF"/>
    <w:rsid w:val="00C511E0"/>
    <w:rsid w:val="00C625A8"/>
    <w:rsid w:val="00C62665"/>
    <w:rsid w:val="00C66761"/>
    <w:rsid w:val="00C66843"/>
    <w:rsid w:val="00C72664"/>
    <w:rsid w:val="00C74C2D"/>
    <w:rsid w:val="00C77123"/>
    <w:rsid w:val="00C80278"/>
    <w:rsid w:val="00C80F15"/>
    <w:rsid w:val="00C82080"/>
    <w:rsid w:val="00C84BA7"/>
    <w:rsid w:val="00C8650F"/>
    <w:rsid w:val="00C87387"/>
    <w:rsid w:val="00C90466"/>
    <w:rsid w:val="00C92196"/>
    <w:rsid w:val="00C934FD"/>
    <w:rsid w:val="00C969B5"/>
    <w:rsid w:val="00C97FEE"/>
    <w:rsid w:val="00CA1AF3"/>
    <w:rsid w:val="00CA6826"/>
    <w:rsid w:val="00CB0417"/>
    <w:rsid w:val="00CB0B99"/>
    <w:rsid w:val="00CC20BC"/>
    <w:rsid w:val="00CC2608"/>
    <w:rsid w:val="00CC29D3"/>
    <w:rsid w:val="00CC6015"/>
    <w:rsid w:val="00CD38B9"/>
    <w:rsid w:val="00CE1099"/>
    <w:rsid w:val="00CE213C"/>
    <w:rsid w:val="00CE4672"/>
    <w:rsid w:val="00D015E1"/>
    <w:rsid w:val="00D0222F"/>
    <w:rsid w:val="00D079DF"/>
    <w:rsid w:val="00D15069"/>
    <w:rsid w:val="00D27357"/>
    <w:rsid w:val="00D276AC"/>
    <w:rsid w:val="00D306BC"/>
    <w:rsid w:val="00D36227"/>
    <w:rsid w:val="00D375AD"/>
    <w:rsid w:val="00D37AD1"/>
    <w:rsid w:val="00D4018C"/>
    <w:rsid w:val="00D45C69"/>
    <w:rsid w:val="00D46704"/>
    <w:rsid w:val="00D46EBF"/>
    <w:rsid w:val="00D47241"/>
    <w:rsid w:val="00D50C34"/>
    <w:rsid w:val="00D5790B"/>
    <w:rsid w:val="00D60C4D"/>
    <w:rsid w:val="00D616DB"/>
    <w:rsid w:val="00D65ACA"/>
    <w:rsid w:val="00D70653"/>
    <w:rsid w:val="00D7290A"/>
    <w:rsid w:val="00D75776"/>
    <w:rsid w:val="00D76793"/>
    <w:rsid w:val="00D807C0"/>
    <w:rsid w:val="00D85D98"/>
    <w:rsid w:val="00D917AD"/>
    <w:rsid w:val="00D93AE3"/>
    <w:rsid w:val="00D9583F"/>
    <w:rsid w:val="00DA43C4"/>
    <w:rsid w:val="00DA5243"/>
    <w:rsid w:val="00DB0A0B"/>
    <w:rsid w:val="00DB11F1"/>
    <w:rsid w:val="00DB1F84"/>
    <w:rsid w:val="00DB40A7"/>
    <w:rsid w:val="00DB411B"/>
    <w:rsid w:val="00DC2454"/>
    <w:rsid w:val="00DC45F3"/>
    <w:rsid w:val="00DC496E"/>
    <w:rsid w:val="00DD0508"/>
    <w:rsid w:val="00DD2680"/>
    <w:rsid w:val="00DE1BF8"/>
    <w:rsid w:val="00DE3FCE"/>
    <w:rsid w:val="00DE4BAA"/>
    <w:rsid w:val="00DE6795"/>
    <w:rsid w:val="00DE69F8"/>
    <w:rsid w:val="00DE78D5"/>
    <w:rsid w:val="00E02DF8"/>
    <w:rsid w:val="00E0375D"/>
    <w:rsid w:val="00E05C8E"/>
    <w:rsid w:val="00E07F24"/>
    <w:rsid w:val="00E12566"/>
    <w:rsid w:val="00E12F91"/>
    <w:rsid w:val="00E14855"/>
    <w:rsid w:val="00E1731B"/>
    <w:rsid w:val="00E17425"/>
    <w:rsid w:val="00E20580"/>
    <w:rsid w:val="00E2240A"/>
    <w:rsid w:val="00E22645"/>
    <w:rsid w:val="00E24597"/>
    <w:rsid w:val="00E2540E"/>
    <w:rsid w:val="00E26F06"/>
    <w:rsid w:val="00E32E2E"/>
    <w:rsid w:val="00E3551F"/>
    <w:rsid w:val="00E35895"/>
    <w:rsid w:val="00E35AFA"/>
    <w:rsid w:val="00E455BD"/>
    <w:rsid w:val="00E5098C"/>
    <w:rsid w:val="00E52E94"/>
    <w:rsid w:val="00E574B7"/>
    <w:rsid w:val="00E63C72"/>
    <w:rsid w:val="00E66FCF"/>
    <w:rsid w:val="00E70331"/>
    <w:rsid w:val="00E72A4B"/>
    <w:rsid w:val="00E7540B"/>
    <w:rsid w:val="00E77AE6"/>
    <w:rsid w:val="00E849DE"/>
    <w:rsid w:val="00E85E91"/>
    <w:rsid w:val="00E86F58"/>
    <w:rsid w:val="00E902B2"/>
    <w:rsid w:val="00E91809"/>
    <w:rsid w:val="00E91A22"/>
    <w:rsid w:val="00E92F6E"/>
    <w:rsid w:val="00EA06DF"/>
    <w:rsid w:val="00EA0FA3"/>
    <w:rsid w:val="00EA2775"/>
    <w:rsid w:val="00EA2849"/>
    <w:rsid w:val="00EA41C7"/>
    <w:rsid w:val="00EB0435"/>
    <w:rsid w:val="00EB4A5E"/>
    <w:rsid w:val="00EB62C8"/>
    <w:rsid w:val="00EB62E2"/>
    <w:rsid w:val="00EC0DC8"/>
    <w:rsid w:val="00EC2C15"/>
    <w:rsid w:val="00EC35CC"/>
    <w:rsid w:val="00EC3679"/>
    <w:rsid w:val="00EC45E2"/>
    <w:rsid w:val="00EC690F"/>
    <w:rsid w:val="00EC6C8E"/>
    <w:rsid w:val="00ED1E57"/>
    <w:rsid w:val="00ED36C4"/>
    <w:rsid w:val="00ED6E8A"/>
    <w:rsid w:val="00EE06A7"/>
    <w:rsid w:val="00EE562A"/>
    <w:rsid w:val="00EE7A90"/>
    <w:rsid w:val="00EF0D4A"/>
    <w:rsid w:val="00EF13D9"/>
    <w:rsid w:val="00EF35EE"/>
    <w:rsid w:val="00EF6392"/>
    <w:rsid w:val="00EF7684"/>
    <w:rsid w:val="00F01B21"/>
    <w:rsid w:val="00F04805"/>
    <w:rsid w:val="00F0637F"/>
    <w:rsid w:val="00F12DBF"/>
    <w:rsid w:val="00F142AB"/>
    <w:rsid w:val="00F21754"/>
    <w:rsid w:val="00F21AA9"/>
    <w:rsid w:val="00F22902"/>
    <w:rsid w:val="00F25888"/>
    <w:rsid w:val="00F30F53"/>
    <w:rsid w:val="00F31A51"/>
    <w:rsid w:val="00F31B47"/>
    <w:rsid w:val="00F359EB"/>
    <w:rsid w:val="00F4370E"/>
    <w:rsid w:val="00F463FB"/>
    <w:rsid w:val="00F478AB"/>
    <w:rsid w:val="00F520DF"/>
    <w:rsid w:val="00F53035"/>
    <w:rsid w:val="00F56499"/>
    <w:rsid w:val="00F57B6F"/>
    <w:rsid w:val="00F617D6"/>
    <w:rsid w:val="00F61A58"/>
    <w:rsid w:val="00F66E6E"/>
    <w:rsid w:val="00F71747"/>
    <w:rsid w:val="00F725EB"/>
    <w:rsid w:val="00F755FF"/>
    <w:rsid w:val="00F75C06"/>
    <w:rsid w:val="00F764E4"/>
    <w:rsid w:val="00F7701C"/>
    <w:rsid w:val="00F81D3D"/>
    <w:rsid w:val="00F83C60"/>
    <w:rsid w:val="00F84EE5"/>
    <w:rsid w:val="00F867D7"/>
    <w:rsid w:val="00F87717"/>
    <w:rsid w:val="00F9442B"/>
    <w:rsid w:val="00F978EC"/>
    <w:rsid w:val="00FA2E4A"/>
    <w:rsid w:val="00FA41B5"/>
    <w:rsid w:val="00FA4B42"/>
    <w:rsid w:val="00FA4D5B"/>
    <w:rsid w:val="00FA5511"/>
    <w:rsid w:val="00FA5619"/>
    <w:rsid w:val="00FB60BE"/>
    <w:rsid w:val="00FC1A23"/>
    <w:rsid w:val="00FC5C2C"/>
    <w:rsid w:val="00FD296C"/>
    <w:rsid w:val="00FD51C2"/>
    <w:rsid w:val="00FE137D"/>
    <w:rsid w:val="00FE37BA"/>
    <w:rsid w:val="00FF2863"/>
    <w:rsid w:val="00FF43DB"/>
    <w:rsid w:val="00FF4F6C"/>
    <w:rsid w:val="092C7FE5"/>
    <w:rsid w:val="19ADF3F9"/>
    <w:rsid w:val="3186E840"/>
    <w:rsid w:val="452E70E2"/>
    <w:rsid w:val="45564853"/>
    <w:rsid w:val="4F5C19D8"/>
    <w:rsid w:val="5305AB7B"/>
    <w:rsid w:val="5BBBC3B6"/>
    <w:rsid w:val="644FA813"/>
    <w:rsid w:val="6B3DEC1A"/>
    <w:rsid w:val="72B1F232"/>
    <w:rsid w:val="738E4F83"/>
    <w:rsid w:val="78FADE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F8CA"/>
  <w15:chartTrackingRefBased/>
  <w15:docId w15:val="{967B5146-E07B-44B2-8CCB-F11BA9D5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0F5"/>
    <w:pPr>
      <w:ind w:left="720"/>
      <w:contextualSpacing/>
    </w:pPr>
  </w:style>
  <w:style w:type="character" w:styleId="CommentReference">
    <w:name w:val="annotation reference"/>
    <w:basedOn w:val="DefaultParagraphFont"/>
    <w:uiPriority w:val="99"/>
    <w:semiHidden/>
    <w:unhideWhenUsed/>
    <w:rsid w:val="004715D7"/>
    <w:rPr>
      <w:sz w:val="16"/>
      <w:szCs w:val="16"/>
    </w:rPr>
  </w:style>
  <w:style w:type="paragraph" w:styleId="CommentText">
    <w:name w:val="annotation text"/>
    <w:basedOn w:val="Normal"/>
    <w:link w:val="CommentTextChar"/>
    <w:uiPriority w:val="99"/>
    <w:unhideWhenUsed/>
    <w:rsid w:val="004715D7"/>
    <w:pPr>
      <w:spacing w:line="240" w:lineRule="auto"/>
    </w:pPr>
    <w:rPr>
      <w:sz w:val="20"/>
      <w:szCs w:val="20"/>
    </w:rPr>
  </w:style>
  <w:style w:type="character" w:customStyle="1" w:styleId="CommentTextChar">
    <w:name w:val="Comment Text Char"/>
    <w:basedOn w:val="DefaultParagraphFont"/>
    <w:link w:val="CommentText"/>
    <w:uiPriority w:val="99"/>
    <w:rsid w:val="004715D7"/>
    <w:rPr>
      <w:sz w:val="20"/>
      <w:szCs w:val="20"/>
    </w:rPr>
  </w:style>
  <w:style w:type="paragraph" w:styleId="CommentSubject">
    <w:name w:val="annotation subject"/>
    <w:basedOn w:val="CommentText"/>
    <w:next w:val="CommentText"/>
    <w:link w:val="CommentSubjectChar"/>
    <w:uiPriority w:val="99"/>
    <w:semiHidden/>
    <w:unhideWhenUsed/>
    <w:rsid w:val="004715D7"/>
    <w:rPr>
      <w:b/>
      <w:bCs/>
    </w:rPr>
  </w:style>
  <w:style w:type="character" w:customStyle="1" w:styleId="CommentSubjectChar">
    <w:name w:val="Comment Subject Char"/>
    <w:basedOn w:val="CommentTextChar"/>
    <w:link w:val="CommentSubject"/>
    <w:uiPriority w:val="99"/>
    <w:semiHidden/>
    <w:rsid w:val="004715D7"/>
    <w:rPr>
      <w:b/>
      <w:bCs/>
      <w:sz w:val="20"/>
      <w:szCs w:val="20"/>
    </w:rPr>
  </w:style>
  <w:style w:type="paragraph" w:styleId="Header">
    <w:name w:val="header"/>
    <w:basedOn w:val="Normal"/>
    <w:link w:val="HeaderChar"/>
    <w:uiPriority w:val="99"/>
    <w:unhideWhenUsed/>
    <w:rsid w:val="0003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F25"/>
  </w:style>
  <w:style w:type="paragraph" w:styleId="Footer">
    <w:name w:val="footer"/>
    <w:basedOn w:val="Normal"/>
    <w:link w:val="FooterChar"/>
    <w:uiPriority w:val="99"/>
    <w:unhideWhenUsed/>
    <w:rsid w:val="0003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F25"/>
  </w:style>
  <w:style w:type="character" w:styleId="Hyperlink">
    <w:name w:val="Hyperlink"/>
    <w:basedOn w:val="DefaultParagraphFont"/>
    <w:uiPriority w:val="99"/>
    <w:unhideWhenUsed/>
    <w:rsid w:val="00030F25"/>
    <w:rPr>
      <w:color w:val="0563C1" w:themeColor="hyperlink"/>
      <w:u w:val="single"/>
    </w:rPr>
  </w:style>
  <w:style w:type="table" w:styleId="TableGrid">
    <w:name w:val="Table Grid"/>
    <w:basedOn w:val="TableNormal"/>
    <w:uiPriority w:val="59"/>
    <w:rsid w:val="00030F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5014F"/>
    <w:pPr>
      <w:spacing w:after="0" w:line="240" w:lineRule="auto"/>
    </w:pPr>
  </w:style>
  <w:style w:type="character" w:styleId="UnresolvedMention">
    <w:name w:val="Unresolved Mention"/>
    <w:basedOn w:val="DefaultParagraphFont"/>
    <w:uiPriority w:val="99"/>
    <w:semiHidden/>
    <w:unhideWhenUsed/>
    <w:rsid w:val="009269E5"/>
    <w:rPr>
      <w:color w:val="605E5C"/>
      <w:shd w:val="clear" w:color="auto" w:fill="E1DFDD"/>
    </w:rPr>
  </w:style>
  <w:style w:type="paragraph" w:styleId="NormalWeb">
    <w:name w:val="Normal (Web)"/>
    <w:basedOn w:val="Normal"/>
    <w:uiPriority w:val="99"/>
    <w:unhideWhenUsed/>
    <w:rsid w:val="000300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2A559C"/>
  </w:style>
  <w:style w:type="paragraph" w:styleId="BalloonText">
    <w:name w:val="Balloon Text"/>
    <w:basedOn w:val="Normal"/>
    <w:link w:val="BalloonTextChar"/>
    <w:uiPriority w:val="99"/>
    <w:semiHidden/>
    <w:unhideWhenUsed/>
    <w:rsid w:val="000F2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C0"/>
    <w:rPr>
      <w:rFonts w:ascii="Segoe UI" w:hAnsi="Segoe UI" w:cs="Segoe UI"/>
      <w:sz w:val="18"/>
      <w:szCs w:val="18"/>
    </w:rPr>
  </w:style>
  <w:style w:type="character" w:styleId="FollowedHyperlink">
    <w:name w:val="FollowedHyperlink"/>
    <w:basedOn w:val="DefaultParagraphFont"/>
    <w:uiPriority w:val="99"/>
    <w:semiHidden/>
    <w:unhideWhenUsed/>
    <w:rsid w:val="000F22C0"/>
    <w:rPr>
      <w:color w:val="954F72" w:themeColor="followedHyperlink"/>
      <w:u w:val="single"/>
    </w:rPr>
  </w:style>
  <w:style w:type="paragraph" w:styleId="NoSpacing">
    <w:name w:val="No Spacing"/>
    <w:uiPriority w:val="1"/>
    <w:qFormat/>
    <w:rsid w:val="004B1504"/>
    <w:pPr>
      <w:spacing w:after="0" w:line="240" w:lineRule="auto"/>
    </w:pPr>
  </w:style>
  <w:style w:type="character" w:styleId="Emphasis">
    <w:name w:val="Emphasis"/>
    <w:basedOn w:val="DefaultParagraphFont"/>
    <w:uiPriority w:val="20"/>
    <w:qFormat/>
    <w:rsid w:val="00A071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366">
      <w:bodyDiv w:val="1"/>
      <w:marLeft w:val="0"/>
      <w:marRight w:val="0"/>
      <w:marTop w:val="0"/>
      <w:marBottom w:val="0"/>
      <w:divBdr>
        <w:top w:val="none" w:sz="0" w:space="0" w:color="auto"/>
        <w:left w:val="none" w:sz="0" w:space="0" w:color="auto"/>
        <w:bottom w:val="none" w:sz="0" w:space="0" w:color="auto"/>
        <w:right w:val="none" w:sz="0" w:space="0" w:color="auto"/>
      </w:divBdr>
    </w:div>
    <w:div w:id="967320098">
      <w:bodyDiv w:val="1"/>
      <w:marLeft w:val="0"/>
      <w:marRight w:val="0"/>
      <w:marTop w:val="0"/>
      <w:marBottom w:val="0"/>
      <w:divBdr>
        <w:top w:val="none" w:sz="0" w:space="0" w:color="auto"/>
        <w:left w:val="none" w:sz="0" w:space="0" w:color="auto"/>
        <w:bottom w:val="none" w:sz="0" w:space="0" w:color="auto"/>
        <w:right w:val="none" w:sz="0" w:space="0" w:color="auto"/>
      </w:divBdr>
    </w:div>
    <w:div w:id="14858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documents/hrbodies/hrcouncil/sessions-regular/session50/A_HRC_52_83_AdvanceEditedVersion-A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smil.unmissions.org/statement-president-security-council-libya-16-marc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0F7F-8D54-4B48-BA33-7A5A7D08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 Thompson</dc:creator>
  <cp:keywords/>
  <dc:description/>
  <cp:lastModifiedBy>Mae Thompson</cp:lastModifiedBy>
  <cp:revision>24</cp:revision>
  <dcterms:created xsi:type="dcterms:W3CDTF">2023-04-13T15:05:00Z</dcterms:created>
  <dcterms:modified xsi:type="dcterms:W3CDTF">2023-04-13T11:27:00Z</dcterms:modified>
</cp:coreProperties>
</file>